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09" w:rsidRPr="00480409" w:rsidRDefault="00480409" w:rsidP="00480409">
      <w:pPr>
        <w:spacing w:line="360" w:lineRule="auto"/>
        <w:rPr>
          <w:rFonts w:ascii="Arial" w:hAnsi="Arial" w:cs="Arial"/>
          <w:b/>
          <w:bCs/>
          <w:sz w:val="24"/>
          <w:szCs w:val="24"/>
        </w:rPr>
      </w:pPr>
      <w:r w:rsidRPr="00480409">
        <w:rPr>
          <w:rFonts w:ascii="Arial" w:hAnsi="Arial" w:cs="Arial"/>
          <w:b/>
          <w:bCs/>
          <w:sz w:val="24"/>
          <w:szCs w:val="24"/>
        </w:rPr>
        <w:t>Corporate Governance for listed companies in South Africa</w:t>
      </w:r>
    </w:p>
    <w:p w:rsidR="00480409" w:rsidRPr="00480409" w:rsidRDefault="00480409" w:rsidP="00480409">
      <w:pPr>
        <w:pStyle w:val="ListParagraph"/>
        <w:numPr>
          <w:ilvl w:val="0"/>
          <w:numId w:val="2"/>
        </w:numPr>
        <w:spacing w:line="360" w:lineRule="auto"/>
        <w:ind w:left="284" w:hanging="295"/>
        <w:jc w:val="both"/>
        <w:rPr>
          <w:rFonts w:ascii="Arial" w:hAnsi="Arial" w:cs="Arial"/>
          <w:b/>
          <w:sz w:val="24"/>
          <w:szCs w:val="24"/>
        </w:rPr>
      </w:pPr>
      <w:r w:rsidRPr="00480409">
        <w:rPr>
          <w:rFonts w:ascii="Arial" w:hAnsi="Arial" w:cs="Arial"/>
          <w:b/>
          <w:sz w:val="24"/>
          <w:szCs w:val="24"/>
        </w:rPr>
        <w:t>Regulation of Corporate Governance practices in SA</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Origin of Corporate Governance System in SA:</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CG system was motivated by the desire of the business community to be competitive in an international business arena after the democratisation of South Africa (</w:t>
      </w:r>
      <w:proofErr w:type="spellStart"/>
      <w:r w:rsidRPr="00480409">
        <w:rPr>
          <w:rFonts w:ascii="Arial" w:hAnsi="Arial" w:cs="Arial"/>
          <w:sz w:val="24"/>
          <w:szCs w:val="24"/>
        </w:rPr>
        <w:t>Mallin</w:t>
      </w:r>
      <w:proofErr w:type="spellEnd"/>
      <w:r w:rsidRPr="00480409">
        <w:rPr>
          <w:rFonts w:ascii="Arial" w:hAnsi="Arial" w:cs="Arial"/>
          <w:sz w:val="24"/>
          <w:szCs w:val="24"/>
        </w:rPr>
        <w:t>, 2006).</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When South Africa was accepted back into the international business environment, South African enterprises were compelled to embrace improved standards of corporate governance to compete (Vaughn &amp; Ryan, 2006). </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When foreign financial institutions returned to South Africa in 1994, their infusion of capital was conditional upon assurances that corporations practiced accountability, transparency and fairness to all stakeholders (</w:t>
      </w:r>
      <w:proofErr w:type="spellStart"/>
      <w:r w:rsidRPr="00480409">
        <w:rPr>
          <w:rFonts w:ascii="Arial" w:hAnsi="Arial" w:cs="Arial"/>
          <w:sz w:val="24"/>
          <w:szCs w:val="24"/>
        </w:rPr>
        <w:t>Kakabadse</w:t>
      </w:r>
      <w:proofErr w:type="spellEnd"/>
      <w:r w:rsidRPr="00480409">
        <w:rPr>
          <w:rFonts w:ascii="Arial" w:hAnsi="Arial" w:cs="Arial"/>
          <w:sz w:val="24"/>
          <w:szCs w:val="24"/>
        </w:rPr>
        <w:t xml:space="preserve"> &amp; </w:t>
      </w:r>
      <w:proofErr w:type="spellStart"/>
      <w:r w:rsidRPr="00480409">
        <w:rPr>
          <w:rFonts w:ascii="Arial" w:hAnsi="Arial" w:cs="Arial"/>
          <w:sz w:val="24"/>
          <w:szCs w:val="24"/>
        </w:rPr>
        <w:t>Korac-Kakabadse</w:t>
      </w:r>
      <w:proofErr w:type="spellEnd"/>
      <w:r w:rsidRPr="00480409">
        <w:rPr>
          <w:rFonts w:ascii="Arial" w:hAnsi="Arial" w:cs="Arial"/>
          <w:sz w:val="24"/>
          <w:szCs w:val="24"/>
        </w:rPr>
        <w:t xml:space="preserve">, 2002; </w:t>
      </w:r>
      <w:proofErr w:type="spellStart"/>
      <w:r w:rsidRPr="00480409">
        <w:rPr>
          <w:rFonts w:ascii="Arial" w:hAnsi="Arial" w:cs="Arial"/>
          <w:sz w:val="24"/>
          <w:szCs w:val="24"/>
        </w:rPr>
        <w:t>Vaugn</w:t>
      </w:r>
      <w:proofErr w:type="spellEnd"/>
      <w:r w:rsidRPr="00480409">
        <w:rPr>
          <w:rFonts w:ascii="Arial" w:hAnsi="Arial" w:cs="Arial"/>
          <w:sz w:val="24"/>
          <w:szCs w:val="24"/>
        </w:rPr>
        <w:t xml:space="preserve"> &amp; Ryan, 2006).</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 xml:space="preserve">Regulation of Corporate Governance in South Africa: </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Companies Act No. 71 of 2008 (into effect in 2011)</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The Listing Requirements of the JSE </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Code of Practices and Conduct (King Code III) (into effect in 2010)</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King III has opted for </w:t>
      </w:r>
      <w:proofErr w:type="gramStart"/>
      <w:r w:rsidRPr="00480409">
        <w:rPr>
          <w:rFonts w:ascii="Arial" w:hAnsi="Arial" w:cs="Arial"/>
          <w:sz w:val="24"/>
          <w:szCs w:val="24"/>
        </w:rPr>
        <w:t>an 'apply</w:t>
      </w:r>
      <w:proofErr w:type="gramEnd"/>
      <w:r w:rsidRPr="00480409">
        <w:rPr>
          <w:rFonts w:ascii="Arial" w:hAnsi="Arial" w:cs="Arial"/>
          <w:sz w:val="24"/>
          <w:szCs w:val="24"/>
        </w:rPr>
        <w:t xml:space="preserve"> or explain' governance framework. Where the board believes it to be in the best interests of the company, it can adopt a practice different from that recommended in King III, but must explain it. </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The framework recommended by King III is principles-based and there is no 'one size fits all' solution. Entities are encouraged to tailor the principles of the Code as appropriate to the size, nature and complexity of their organisation. </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Board Composition:</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South African companies have a unitary board structure.</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Employees are not entitled by law to board membership but they can be represented on the board.</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Listings Requirements and the King Code distinguish between executive, non-executive and independent non-executive directors.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lastRenderedPageBreak/>
        <w:t xml:space="preserve">The King Report recommends that the board </w:t>
      </w:r>
      <w:proofErr w:type="gramStart"/>
      <w:r w:rsidRPr="00480409">
        <w:rPr>
          <w:rFonts w:ascii="Arial" w:hAnsi="Arial" w:cs="Arial"/>
          <w:sz w:val="24"/>
          <w:szCs w:val="24"/>
        </w:rPr>
        <w:t>has</w:t>
      </w:r>
      <w:proofErr w:type="gramEnd"/>
      <w:r w:rsidRPr="00480409">
        <w:rPr>
          <w:rFonts w:ascii="Arial" w:hAnsi="Arial" w:cs="Arial"/>
          <w:sz w:val="24"/>
          <w:szCs w:val="24"/>
        </w:rPr>
        <w:t xml:space="preserve"> a balance of executive and non-executive directors, with a majority of non-executive directors, of whom preferably the majority should be independent of management, so that shareholder interests (including minority interests) can be protected.</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chairman of the board should be an independent non-executive director. The chairman of the board should not be the CEO.</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As a minimum, two executive directors should be appointed to the board, being the chief executive officer and the financial director.</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All directors are bound by fiduciary duties and duties of care and skill. Directors must act in the company’s best interests. No fiduciary relationship exists between directors and individual shareholders of the company, or between directors and third parties.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An executive director’s fixed-term service contract should not exceed three years. If it does, this fact should be fully disclosed and shareholder’ consent should be obtained.</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 xml:space="preserve">Board Responsibilities: </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The </w:t>
      </w:r>
      <w:proofErr w:type="spellStart"/>
      <w:r w:rsidRPr="00480409">
        <w:rPr>
          <w:rFonts w:ascii="Arial" w:hAnsi="Arial" w:cs="Arial"/>
          <w:sz w:val="24"/>
          <w:szCs w:val="24"/>
        </w:rPr>
        <w:t>BoD</w:t>
      </w:r>
      <w:proofErr w:type="spellEnd"/>
      <w:r w:rsidRPr="00480409">
        <w:rPr>
          <w:rFonts w:ascii="Arial" w:hAnsi="Arial" w:cs="Arial"/>
          <w:sz w:val="24"/>
          <w:szCs w:val="24"/>
        </w:rPr>
        <w:t xml:space="preserve"> normally manages a company, except in relation to matters specifically conferred on other organs by The Companies Act or the articles.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board should meet regularly, at least once a quarter.</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The board should appoint the audit, risk, remuneration and nomination committees as standing committees. Smaller companies need not establish formal committees but should ensure that </w:t>
      </w:r>
      <w:proofErr w:type="gramStart"/>
      <w:r w:rsidRPr="00480409">
        <w:rPr>
          <w:rFonts w:ascii="Arial" w:hAnsi="Arial" w:cs="Arial"/>
          <w:sz w:val="24"/>
          <w:szCs w:val="24"/>
        </w:rPr>
        <w:t>these functions are appropriately addressed by the board</w:t>
      </w:r>
      <w:proofErr w:type="gramEnd"/>
      <w:r w:rsidRPr="00480409">
        <w:rPr>
          <w:rFonts w:ascii="Arial" w:hAnsi="Arial" w:cs="Arial"/>
          <w:sz w:val="24"/>
          <w:szCs w:val="24"/>
        </w:rPr>
        <w:t>.</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Board Committees: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Board committees should only comprise members of the board. External parties may be present at committee meetings by invitation.</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Audit Committee</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Chairman must be an independent nonexecutive director</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At least 3 members, who must be board members and independent nonexecutive directors</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The audit committee as a whole should have a good understanding of integrated reporting, including financial reporting, and sustainability issues, internal financial controls, internal and external audit processes, corporate law and risk management, IT governance as it relates to integrated reporting, and the governance processes within the company.</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Remuneration Committee</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Chairman must be an independent nonexecutive director </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All members must be board members, majority should be independent nonexecutive directors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Nomination Committee</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Chairman must be an independent nonexecutive director </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All members must be board members, majority should be independent nonexecutive directors</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Board chairman must be a member</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Risk Committee</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All members must be board members, executive and nonexecutive directors</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External Auditors: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Every company’s accounts must be audited.</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Every company must have an auditor. The appointment takes place at each AGM, for which </w:t>
      </w:r>
      <w:proofErr w:type="gramStart"/>
      <w:r w:rsidRPr="00480409">
        <w:rPr>
          <w:rFonts w:ascii="Arial" w:hAnsi="Arial" w:cs="Arial"/>
          <w:sz w:val="24"/>
          <w:szCs w:val="24"/>
        </w:rPr>
        <w:t>shareholder approval is required by simple majority</w:t>
      </w:r>
      <w:proofErr w:type="gramEnd"/>
      <w:r w:rsidRPr="00480409">
        <w:rPr>
          <w:rFonts w:ascii="Arial" w:hAnsi="Arial" w:cs="Arial"/>
          <w:sz w:val="24"/>
          <w:szCs w:val="24"/>
        </w:rPr>
        <w:t>.</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 The auditor must be independent and not under the control of the company through its directors or otherwise.</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A public company’s auditor cannot perform secretarial work for the company. A private company’s auditor can perform secretarial work provided that all the following apply:</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All the shareholders have consented in writing to his appointment.</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None of the shares are held by a public company.</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The auditor is registered under the Auditing Professions Act.</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The relevant circumstances are set out in the auditor’s report on the affairs and annual financial statements of the company. </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audit committee of listed companies must set out the principles for recommending the use of the company’s external auditors for non-audit work. The King Code requires the separate disclosure of:</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The amount paid for non-audit services.</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The nature of the non-audit services. </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The amounts paid for each of the services described.</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Minority Shareholders: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If a minority shareholder believes that the company is being mismanaged, he can:</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Apply to court to appoint a representative to start proceedings to recover damages caused as a result of an offence, breach of trust or breach of faith by a director or officer of the company, if the board fails to do this on the company’s behalf.</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Requisition a meeting to propose resolutions to remove directors.</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 xml:space="preserve">Apply to court for an order that the company is being run in a way unfairly prejudicial to the interests of its members. </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Request the Minister of Trade and Industry to appoint an inspector to investigate a particular transaction. The application must be made by not less than 100 members or of members holding not less than 5% of the shares issued.</w:t>
      </w:r>
    </w:p>
    <w:p w:rsidR="00480409" w:rsidRPr="00480409" w:rsidRDefault="00480409" w:rsidP="00480409">
      <w:pPr>
        <w:pStyle w:val="ListParagraph"/>
        <w:numPr>
          <w:ilvl w:val="0"/>
          <w:numId w:val="1"/>
        </w:numPr>
        <w:spacing w:line="360" w:lineRule="auto"/>
        <w:jc w:val="both"/>
        <w:rPr>
          <w:rFonts w:ascii="Arial" w:hAnsi="Arial" w:cs="Arial"/>
          <w:sz w:val="24"/>
          <w:szCs w:val="24"/>
        </w:rPr>
      </w:pPr>
      <w:r w:rsidRPr="00480409">
        <w:rPr>
          <w:rFonts w:ascii="Arial" w:hAnsi="Arial" w:cs="Arial"/>
          <w:sz w:val="24"/>
          <w:szCs w:val="24"/>
        </w:rPr>
        <w:t>International Comparison:</w:t>
      </w:r>
    </w:p>
    <w:p w:rsidR="00480409" w:rsidRPr="00480409" w:rsidRDefault="00480409" w:rsidP="00480409">
      <w:pPr>
        <w:pStyle w:val="ListParagraph"/>
        <w:numPr>
          <w:ilvl w:val="1"/>
          <w:numId w:val="1"/>
        </w:numPr>
        <w:spacing w:line="360" w:lineRule="auto"/>
        <w:rPr>
          <w:rFonts w:ascii="Arial" w:hAnsi="Arial" w:cs="Arial"/>
          <w:sz w:val="24"/>
          <w:szCs w:val="24"/>
        </w:rPr>
      </w:pPr>
      <w:r w:rsidRPr="00480409">
        <w:rPr>
          <w:rFonts w:ascii="Arial" w:hAnsi="Arial" w:cs="Arial"/>
          <w:sz w:val="24"/>
          <w:szCs w:val="24"/>
        </w:rPr>
        <w:t>While SA corporate structures resemble those in Anglo-American jurisdictions, there are aspects of the South African corporate environment that suggest a more ‘inclusive’ approach than is typical in the UK or USA:</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All stakeholders should be considered</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‘‘The inclusive approach recognises that stakeholders such as the community in which the company operates, its customers, its employees and its suppliers need to be considered when developing the strategy of a company’’</w:t>
      </w:r>
    </w:p>
    <w:p w:rsidR="00480409" w:rsidRPr="00480409" w:rsidRDefault="00480409" w:rsidP="00480409">
      <w:pPr>
        <w:pStyle w:val="ListParagraph"/>
        <w:numPr>
          <w:ilvl w:val="2"/>
          <w:numId w:val="1"/>
        </w:numPr>
        <w:spacing w:line="360" w:lineRule="auto"/>
        <w:jc w:val="both"/>
        <w:rPr>
          <w:rFonts w:ascii="Arial" w:hAnsi="Arial" w:cs="Arial"/>
          <w:sz w:val="24"/>
          <w:szCs w:val="24"/>
        </w:rPr>
      </w:pPr>
      <w:r w:rsidRPr="00480409">
        <w:rPr>
          <w:rFonts w:ascii="Arial" w:hAnsi="Arial" w:cs="Arial"/>
          <w:sz w:val="24"/>
          <w:szCs w:val="24"/>
        </w:rPr>
        <w:t>Shareholders are to be considered as one of a number of stakeholders, albeit with their own particular interests</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 xml:space="preserve">It is clear that the ‘inclusive’ approach adopted is really a form of stakeholder theory (a view supported by </w:t>
      </w:r>
      <w:proofErr w:type="spellStart"/>
      <w:r w:rsidRPr="00480409">
        <w:rPr>
          <w:rFonts w:ascii="Arial" w:hAnsi="Arial" w:cs="Arial"/>
          <w:sz w:val="24"/>
          <w:szCs w:val="24"/>
        </w:rPr>
        <w:t>Rossouw</w:t>
      </w:r>
      <w:proofErr w:type="spellEnd"/>
      <w:r w:rsidRPr="00480409">
        <w:rPr>
          <w:rFonts w:ascii="Arial" w:hAnsi="Arial" w:cs="Arial"/>
          <w:sz w:val="24"/>
          <w:szCs w:val="24"/>
        </w:rPr>
        <w:t xml:space="preserve"> (2002)). The section on Integrated Sustainability Reporting provides a detailed example of how stakeholder concerns are addressed in the body of the report: it includes recommendations for reporting on non-financial aspects of the business, including transformation progress (employment equity and black economic empowerment), human capital development policies, safety and health concerns (with particular reference to HIV/AIDS), as well as recommendations for the establishment of processes governing organisational ethics (through the use of codes of ethics), environmental impact and social investment policies. All of these are clearly areas of significant concern to stakeholder groups such as employees, community groups and society at large.</w:t>
      </w:r>
    </w:p>
    <w:p w:rsidR="00480409" w:rsidRPr="00480409" w:rsidRDefault="00480409" w:rsidP="00480409">
      <w:pPr>
        <w:pStyle w:val="ListParagraph"/>
        <w:numPr>
          <w:ilvl w:val="1"/>
          <w:numId w:val="1"/>
        </w:numPr>
        <w:spacing w:line="360" w:lineRule="auto"/>
        <w:jc w:val="both"/>
        <w:rPr>
          <w:rFonts w:ascii="Arial" w:hAnsi="Arial" w:cs="Arial"/>
          <w:sz w:val="24"/>
          <w:szCs w:val="24"/>
        </w:rPr>
      </w:pPr>
      <w:r w:rsidRPr="00480409">
        <w:rPr>
          <w:rFonts w:ascii="Arial" w:hAnsi="Arial" w:cs="Arial"/>
          <w:sz w:val="24"/>
          <w:szCs w:val="24"/>
        </w:rPr>
        <w:t>The South African corporate environment can be described as a modified form of the Anglo-American model (modified by some attempts to incorporate stakeholder theory, notably in King II), with its prominence given to shareholders and the consistent primacy of economic objectives, (West, 2006).</w:t>
      </w:r>
    </w:p>
    <w:p w:rsidR="00480409" w:rsidRPr="00480409" w:rsidRDefault="00480409" w:rsidP="00480409">
      <w:pPr>
        <w:pStyle w:val="ListParagraph"/>
        <w:spacing w:line="360" w:lineRule="auto"/>
        <w:ind w:left="1440"/>
        <w:jc w:val="both"/>
        <w:rPr>
          <w:rFonts w:ascii="Arial" w:hAnsi="Arial" w:cs="Arial"/>
          <w:sz w:val="24"/>
          <w:szCs w:val="24"/>
        </w:rPr>
      </w:pPr>
    </w:p>
    <w:p w:rsidR="00480409" w:rsidRPr="00480409" w:rsidRDefault="00480409" w:rsidP="00480409">
      <w:pPr>
        <w:pStyle w:val="ListParagraph"/>
        <w:numPr>
          <w:ilvl w:val="0"/>
          <w:numId w:val="2"/>
        </w:numPr>
        <w:spacing w:line="360" w:lineRule="auto"/>
        <w:ind w:left="284" w:hanging="295"/>
        <w:jc w:val="both"/>
        <w:rPr>
          <w:rFonts w:ascii="Arial" w:hAnsi="Arial" w:cs="Arial"/>
          <w:b/>
          <w:sz w:val="24"/>
          <w:szCs w:val="24"/>
        </w:rPr>
      </w:pPr>
      <w:r w:rsidRPr="00480409">
        <w:rPr>
          <w:rFonts w:ascii="Arial" w:hAnsi="Arial" w:cs="Arial"/>
          <w:b/>
          <w:sz w:val="24"/>
          <w:szCs w:val="24"/>
        </w:rPr>
        <w:t>Compliance with CG practices</w:t>
      </w:r>
    </w:p>
    <w:p w:rsidR="00480409" w:rsidRPr="00480409" w:rsidRDefault="00480409" w:rsidP="00480409">
      <w:pPr>
        <w:pStyle w:val="ListParagraph"/>
        <w:numPr>
          <w:ilvl w:val="0"/>
          <w:numId w:val="4"/>
        </w:numPr>
        <w:spacing w:line="360" w:lineRule="auto"/>
        <w:jc w:val="center"/>
        <w:rPr>
          <w:rFonts w:ascii="Arial" w:hAnsi="Arial" w:cs="Arial"/>
          <w:sz w:val="24"/>
          <w:szCs w:val="24"/>
        </w:rPr>
      </w:pPr>
      <w:r w:rsidRPr="00480409">
        <w:rPr>
          <w:rFonts w:ascii="Arial" w:hAnsi="Arial" w:cs="Arial"/>
          <w:sz w:val="24"/>
          <w:szCs w:val="24"/>
        </w:rPr>
        <w:t xml:space="preserve">According to data found in a paper by </w:t>
      </w:r>
      <w:proofErr w:type="spellStart"/>
      <w:r w:rsidRPr="00480409">
        <w:rPr>
          <w:rFonts w:ascii="Arial" w:hAnsi="Arial" w:cs="Arial"/>
          <w:sz w:val="24"/>
          <w:szCs w:val="24"/>
        </w:rPr>
        <w:t>Ntim</w:t>
      </w:r>
      <w:proofErr w:type="spellEnd"/>
      <w:r w:rsidRPr="00480409">
        <w:rPr>
          <w:rFonts w:ascii="Arial" w:hAnsi="Arial" w:cs="Arial"/>
          <w:sz w:val="24"/>
          <w:szCs w:val="24"/>
        </w:rPr>
        <w:t xml:space="preserve"> et al (2012), the compliance with CG practices suggested by King’s Report II has slowly increased between 2002 and 2006, starting at 47% and accomplishing 69% after 4 years: </w:t>
      </w:r>
      <w:r w:rsidRPr="00480409">
        <w:rPr>
          <w:rFonts w:ascii="Arial" w:hAnsi="Arial" w:cs="Arial"/>
          <w:noProof/>
          <w:sz w:val="24"/>
          <w:szCs w:val="24"/>
          <w:lang w:val="en-US" w:eastAsia="en-US"/>
        </w:rPr>
        <w:drawing>
          <wp:inline distT="0" distB="0" distL="0" distR="0" wp14:anchorId="466C87FC" wp14:editId="4CA9B86C">
            <wp:extent cx="3600450" cy="1704975"/>
            <wp:effectExtent l="0" t="0" r="1905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80409" w:rsidRPr="00480409" w:rsidRDefault="00480409" w:rsidP="00480409">
      <w:pPr>
        <w:pStyle w:val="ListParagraph"/>
        <w:numPr>
          <w:ilvl w:val="0"/>
          <w:numId w:val="4"/>
        </w:numPr>
        <w:spacing w:line="360" w:lineRule="auto"/>
        <w:jc w:val="both"/>
        <w:rPr>
          <w:rFonts w:ascii="Arial" w:hAnsi="Arial" w:cs="Arial"/>
          <w:sz w:val="24"/>
          <w:szCs w:val="24"/>
        </w:rPr>
      </w:pPr>
      <w:r w:rsidRPr="00480409">
        <w:rPr>
          <w:rFonts w:ascii="Arial" w:hAnsi="Arial" w:cs="Arial"/>
          <w:sz w:val="24"/>
          <w:szCs w:val="24"/>
        </w:rPr>
        <w:t xml:space="preserve">The authors divide King’s Report in 5 broad sections, the compliance level for 2006 was highest with CG practices regarding risk management, internal audit and control: </w:t>
      </w:r>
    </w:p>
    <w:p w:rsidR="00480409" w:rsidRPr="00480409" w:rsidRDefault="00480409" w:rsidP="00480409">
      <w:pPr>
        <w:pStyle w:val="ListParagraph"/>
        <w:spacing w:line="360" w:lineRule="auto"/>
        <w:jc w:val="center"/>
        <w:rPr>
          <w:rFonts w:ascii="Arial" w:hAnsi="Arial" w:cs="Arial"/>
          <w:sz w:val="24"/>
          <w:szCs w:val="24"/>
        </w:rPr>
      </w:pPr>
      <w:r w:rsidRPr="00480409">
        <w:rPr>
          <w:rFonts w:ascii="Arial" w:hAnsi="Arial" w:cs="Arial"/>
          <w:noProof/>
          <w:sz w:val="24"/>
          <w:szCs w:val="24"/>
          <w:lang w:val="en-US" w:eastAsia="en-US"/>
        </w:rPr>
        <w:drawing>
          <wp:inline distT="0" distB="0" distL="0" distR="0" wp14:anchorId="2614D3F6" wp14:editId="08145E36">
            <wp:extent cx="3581400" cy="196215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80409" w:rsidRPr="00480409" w:rsidRDefault="00480409" w:rsidP="00480409">
      <w:pPr>
        <w:pStyle w:val="ListParagraph"/>
        <w:spacing w:line="360" w:lineRule="auto"/>
        <w:ind w:left="284"/>
        <w:jc w:val="both"/>
        <w:rPr>
          <w:rFonts w:ascii="Arial" w:hAnsi="Arial" w:cs="Arial"/>
          <w:b/>
          <w:sz w:val="24"/>
          <w:szCs w:val="24"/>
        </w:rPr>
      </w:pPr>
    </w:p>
    <w:p w:rsidR="00480409" w:rsidRPr="00480409" w:rsidRDefault="00480409" w:rsidP="00480409">
      <w:pPr>
        <w:pStyle w:val="ListParagraph"/>
        <w:spacing w:line="360" w:lineRule="auto"/>
        <w:ind w:left="284"/>
        <w:jc w:val="both"/>
        <w:rPr>
          <w:rFonts w:ascii="Arial" w:hAnsi="Arial" w:cs="Arial"/>
          <w:b/>
          <w:sz w:val="24"/>
          <w:szCs w:val="24"/>
        </w:rPr>
      </w:pPr>
    </w:p>
    <w:p w:rsidR="00480409" w:rsidRPr="00480409" w:rsidRDefault="00480409" w:rsidP="00480409">
      <w:pPr>
        <w:pStyle w:val="ListParagraph"/>
        <w:numPr>
          <w:ilvl w:val="0"/>
          <w:numId w:val="2"/>
        </w:numPr>
        <w:spacing w:line="360" w:lineRule="auto"/>
        <w:ind w:left="284" w:hanging="295"/>
        <w:jc w:val="both"/>
        <w:rPr>
          <w:rFonts w:ascii="Arial" w:hAnsi="Arial" w:cs="Arial"/>
          <w:b/>
          <w:sz w:val="24"/>
          <w:szCs w:val="24"/>
        </w:rPr>
      </w:pPr>
      <w:r w:rsidRPr="00480409">
        <w:rPr>
          <w:rFonts w:ascii="Arial" w:hAnsi="Arial" w:cs="Arial"/>
          <w:b/>
          <w:sz w:val="24"/>
          <w:szCs w:val="24"/>
        </w:rPr>
        <w:t xml:space="preserve">Theoretical Analysis </w:t>
      </w:r>
    </w:p>
    <w:p w:rsidR="00480409" w:rsidRPr="00480409" w:rsidRDefault="00480409" w:rsidP="00480409">
      <w:pPr>
        <w:pStyle w:val="ListParagraph"/>
        <w:spacing w:line="360" w:lineRule="auto"/>
        <w:ind w:left="284"/>
        <w:jc w:val="both"/>
        <w:rPr>
          <w:rFonts w:ascii="Arial" w:hAnsi="Arial" w:cs="Arial"/>
          <w:b/>
          <w:sz w:val="24"/>
          <w:szCs w:val="24"/>
        </w:rPr>
      </w:pPr>
    </w:p>
    <w:p w:rsidR="00480409" w:rsidRPr="00480409" w:rsidRDefault="00480409" w:rsidP="00480409">
      <w:pPr>
        <w:pStyle w:val="ListParagraph"/>
        <w:numPr>
          <w:ilvl w:val="0"/>
          <w:numId w:val="2"/>
        </w:numPr>
        <w:spacing w:line="360" w:lineRule="auto"/>
        <w:ind w:left="284" w:hanging="295"/>
        <w:jc w:val="both"/>
        <w:rPr>
          <w:rFonts w:ascii="Arial" w:hAnsi="Arial" w:cs="Arial"/>
          <w:b/>
          <w:sz w:val="24"/>
          <w:szCs w:val="24"/>
        </w:rPr>
      </w:pPr>
      <w:r w:rsidRPr="00480409">
        <w:rPr>
          <w:rFonts w:ascii="Arial" w:hAnsi="Arial" w:cs="Arial"/>
          <w:b/>
          <w:sz w:val="24"/>
          <w:szCs w:val="24"/>
        </w:rPr>
        <w:t>Empirical Findings</w:t>
      </w:r>
    </w:p>
    <w:p w:rsidR="00480409" w:rsidRPr="00480409" w:rsidRDefault="00480409" w:rsidP="00480409">
      <w:pPr>
        <w:pStyle w:val="ListParagraph"/>
        <w:numPr>
          <w:ilvl w:val="0"/>
          <w:numId w:val="3"/>
        </w:numPr>
        <w:spacing w:line="360" w:lineRule="auto"/>
        <w:jc w:val="both"/>
        <w:rPr>
          <w:rFonts w:ascii="Arial" w:hAnsi="Arial" w:cs="Arial"/>
          <w:sz w:val="24"/>
          <w:szCs w:val="24"/>
        </w:rPr>
      </w:pPr>
      <w:r w:rsidRPr="00480409">
        <w:rPr>
          <w:rFonts w:ascii="Arial" w:hAnsi="Arial" w:cs="Arial"/>
          <w:sz w:val="24"/>
          <w:szCs w:val="24"/>
        </w:rPr>
        <w:t xml:space="preserve">Empirically there are mixed results found in literature as </w:t>
      </w:r>
      <w:proofErr w:type="spellStart"/>
      <w:r w:rsidRPr="00480409">
        <w:rPr>
          <w:rFonts w:ascii="Arial" w:hAnsi="Arial" w:cs="Arial"/>
          <w:sz w:val="24"/>
          <w:szCs w:val="24"/>
        </w:rPr>
        <w:t>Yermack</w:t>
      </w:r>
      <w:proofErr w:type="spellEnd"/>
      <w:r w:rsidRPr="00480409">
        <w:rPr>
          <w:rFonts w:ascii="Arial" w:hAnsi="Arial" w:cs="Arial"/>
          <w:sz w:val="24"/>
          <w:szCs w:val="24"/>
        </w:rPr>
        <w:t xml:space="preserve"> (1996) finds an inverse relationship between board size and firm performance, whilst </w:t>
      </w:r>
      <w:proofErr w:type="spellStart"/>
      <w:r w:rsidRPr="00480409">
        <w:rPr>
          <w:rFonts w:ascii="Arial" w:hAnsi="Arial" w:cs="Arial"/>
          <w:sz w:val="24"/>
          <w:szCs w:val="24"/>
        </w:rPr>
        <w:t>Haniffa</w:t>
      </w:r>
      <w:proofErr w:type="spellEnd"/>
      <w:r w:rsidRPr="00480409">
        <w:rPr>
          <w:rFonts w:ascii="Arial" w:hAnsi="Arial" w:cs="Arial"/>
          <w:sz w:val="24"/>
          <w:szCs w:val="24"/>
        </w:rPr>
        <w:t xml:space="preserve"> and </w:t>
      </w:r>
      <w:proofErr w:type="spellStart"/>
      <w:r w:rsidRPr="00480409">
        <w:rPr>
          <w:rFonts w:ascii="Arial" w:hAnsi="Arial" w:cs="Arial"/>
          <w:sz w:val="24"/>
          <w:szCs w:val="24"/>
        </w:rPr>
        <w:t>Hudaib</w:t>
      </w:r>
      <w:proofErr w:type="spellEnd"/>
      <w:r w:rsidRPr="00480409">
        <w:rPr>
          <w:rFonts w:ascii="Arial" w:hAnsi="Arial" w:cs="Arial"/>
          <w:sz w:val="24"/>
          <w:szCs w:val="24"/>
        </w:rPr>
        <w:t xml:space="preserve"> (2006) report a positive relationship with operating performance. </w:t>
      </w:r>
      <w:proofErr w:type="spellStart"/>
      <w:r w:rsidRPr="00480409">
        <w:rPr>
          <w:rFonts w:ascii="Arial" w:hAnsi="Arial" w:cs="Arial"/>
          <w:sz w:val="24"/>
          <w:szCs w:val="24"/>
        </w:rPr>
        <w:t>Karamanou</w:t>
      </w:r>
      <w:proofErr w:type="spellEnd"/>
      <w:r w:rsidRPr="00480409">
        <w:rPr>
          <w:rFonts w:ascii="Arial" w:hAnsi="Arial" w:cs="Arial"/>
          <w:sz w:val="24"/>
          <w:szCs w:val="24"/>
        </w:rPr>
        <w:t xml:space="preserve"> and </w:t>
      </w:r>
      <w:proofErr w:type="spellStart"/>
      <w:r w:rsidRPr="00480409">
        <w:rPr>
          <w:rFonts w:ascii="Arial" w:hAnsi="Arial" w:cs="Arial"/>
          <w:sz w:val="24"/>
          <w:szCs w:val="24"/>
        </w:rPr>
        <w:t>Vafeas</w:t>
      </w:r>
      <w:proofErr w:type="spellEnd"/>
      <w:r w:rsidRPr="00480409">
        <w:rPr>
          <w:rFonts w:ascii="Arial" w:hAnsi="Arial" w:cs="Arial"/>
          <w:sz w:val="24"/>
          <w:szCs w:val="24"/>
        </w:rPr>
        <w:t xml:space="preserve"> (2005) also find a positive relationship between board size and management earnings forecasts. In a study that included SA, </w:t>
      </w:r>
      <w:proofErr w:type="spellStart"/>
      <w:r w:rsidRPr="00480409">
        <w:rPr>
          <w:rFonts w:ascii="Arial" w:hAnsi="Arial" w:cs="Arial"/>
          <w:sz w:val="24"/>
          <w:szCs w:val="24"/>
        </w:rPr>
        <w:t>Ho</w:t>
      </w:r>
      <w:proofErr w:type="spellEnd"/>
      <w:r w:rsidRPr="00480409">
        <w:rPr>
          <w:rFonts w:ascii="Arial" w:hAnsi="Arial" w:cs="Arial"/>
          <w:sz w:val="24"/>
          <w:szCs w:val="24"/>
        </w:rPr>
        <w:t xml:space="preserve"> and Williams (2003) fail to detect a significant relationship between performance and board size.</w:t>
      </w:r>
    </w:p>
    <w:p w:rsidR="00480409" w:rsidRPr="00480409" w:rsidRDefault="00480409" w:rsidP="00480409">
      <w:pPr>
        <w:pStyle w:val="ListParagraph"/>
        <w:numPr>
          <w:ilvl w:val="0"/>
          <w:numId w:val="3"/>
        </w:numPr>
        <w:spacing w:line="360" w:lineRule="auto"/>
        <w:jc w:val="both"/>
        <w:rPr>
          <w:rFonts w:ascii="Arial" w:hAnsi="Arial" w:cs="Arial"/>
          <w:sz w:val="24"/>
          <w:szCs w:val="24"/>
        </w:rPr>
      </w:pPr>
      <w:r w:rsidRPr="00480409">
        <w:rPr>
          <w:rFonts w:ascii="Arial" w:hAnsi="Arial" w:cs="Arial"/>
          <w:sz w:val="24"/>
          <w:szCs w:val="24"/>
        </w:rPr>
        <w:t xml:space="preserve">In </w:t>
      </w:r>
      <w:proofErr w:type="spellStart"/>
      <w:r w:rsidRPr="00480409">
        <w:rPr>
          <w:rFonts w:ascii="Arial" w:hAnsi="Arial" w:cs="Arial"/>
          <w:sz w:val="24"/>
          <w:szCs w:val="24"/>
        </w:rPr>
        <w:t>Ntim</w:t>
      </w:r>
      <w:proofErr w:type="spellEnd"/>
      <w:r w:rsidRPr="00480409">
        <w:rPr>
          <w:rFonts w:ascii="Arial" w:hAnsi="Arial" w:cs="Arial"/>
          <w:sz w:val="24"/>
          <w:szCs w:val="24"/>
        </w:rPr>
        <w:t xml:space="preserve"> (2013), the author finds a significant and positive association between CG practices and firm value, implying that better governed SA firms tend to be associated with higher market valuation. </w:t>
      </w:r>
    </w:p>
    <w:p w:rsidR="00480409" w:rsidRPr="00480409" w:rsidRDefault="00480409" w:rsidP="00480409">
      <w:pPr>
        <w:pStyle w:val="ListParagraph"/>
        <w:numPr>
          <w:ilvl w:val="0"/>
          <w:numId w:val="3"/>
        </w:numPr>
        <w:spacing w:line="360" w:lineRule="auto"/>
        <w:jc w:val="both"/>
        <w:rPr>
          <w:rFonts w:ascii="Arial" w:hAnsi="Arial" w:cs="Arial"/>
          <w:sz w:val="24"/>
          <w:szCs w:val="24"/>
        </w:rPr>
      </w:pPr>
      <w:r w:rsidRPr="00480409">
        <w:rPr>
          <w:rFonts w:ascii="Arial" w:hAnsi="Arial" w:cs="Arial"/>
          <w:sz w:val="24"/>
          <w:szCs w:val="24"/>
        </w:rPr>
        <w:t xml:space="preserve">In a paper by </w:t>
      </w:r>
      <w:proofErr w:type="spellStart"/>
      <w:r w:rsidRPr="00480409">
        <w:rPr>
          <w:rFonts w:ascii="Arial" w:hAnsi="Arial" w:cs="Arial"/>
          <w:sz w:val="24"/>
          <w:szCs w:val="24"/>
        </w:rPr>
        <w:t>Ntim</w:t>
      </w:r>
      <w:proofErr w:type="spellEnd"/>
      <w:r w:rsidRPr="00480409">
        <w:rPr>
          <w:rFonts w:ascii="Arial" w:hAnsi="Arial" w:cs="Arial"/>
          <w:sz w:val="24"/>
          <w:szCs w:val="24"/>
        </w:rPr>
        <w:t xml:space="preserve"> et al (2012), they study the relevance of disclosure of CG practices in the firms market value of SA, finding a positive relation between them and suggesting that higher levels of transparency, accountability and responsibility to stakeholders seems a main tool for firms to reduce their political costs and gain access to resources, as well as to improve their value.  </w:t>
      </w:r>
    </w:p>
    <w:p w:rsidR="00480409" w:rsidRPr="00480409" w:rsidRDefault="00480409" w:rsidP="00480409">
      <w:pPr>
        <w:pStyle w:val="ListParagraph"/>
        <w:spacing w:line="360" w:lineRule="auto"/>
        <w:ind w:left="709"/>
        <w:jc w:val="both"/>
        <w:rPr>
          <w:rFonts w:ascii="Arial" w:hAnsi="Arial" w:cs="Arial"/>
          <w:sz w:val="24"/>
          <w:szCs w:val="24"/>
        </w:rPr>
      </w:pPr>
    </w:p>
    <w:p w:rsidR="00480409" w:rsidRPr="00480409" w:rsidRDefault="00480409" w:rsidP="00480409">
      <w:pPr>
        <w:pStyle w:val="ListParagraph"/>
        <w:numPr>
          <w:ilvl w:val="0"/>
          <w:numId w:val="2"/>
        </w:numPr>
        <w:spacing w:line="360" w:lineRule="auto"/>
        <w:ind w:left="284" w:hanging="284"/>
        <w:jc w:val="both"/>
        <w:rPr>
          <w:rFonts w:ascii="Arial" w:hAnsi="Arial" w:cs="Arial"/>
          <w:b/>
          <w:sz w:val="24"/>
          <w:szCs w:val="24"/>
        </w:rPr>
      </w:pPr>
      <w:r w:rsidRPr="00480409">
        <w:rPr>
          <w:rFonts w:ascii="Arial" w:hAnsi="Arial" w:cs="Arial"/>
          <w:b/>
          <w:sz w:val="24"/>
          <w:szCs w:val="24"/>
        </w:rPr>
        <w:t xml:space="preserve">Conclusions: Strengths and weaknesses of SA CG system </w:t>
      </w:r>
    </w:p>
    <w:p w:rsidR="00480409" w:rsidRPr="00480409" w:rsidRDefault="00480409" w:rsidP="00480409">
      <w:pPr>
        <w:spacing w:line="360" w:lineRule="auto"/>
        <w:jc w:val="both"/>
        <w:rPr>
          <w:rFonts w:ascii="Arial" w:hAnsi="Arial" w:cs="Arial"/>
          <w:b/>
          <w:sz w:val="24"/>
          <w:szCs w:val="24"/>
        </w:rPr>
      </w:pPr>
    </w:p>
    <w:p w:rsidR="00480409" w:rsidRPr="00480409" w:rsidRDefault="00480409" w:rsidP="00480409">
      <w:pPr>
        <w:spacing w:line="360" w:lineRule="auto"/>
        <w:jc w:val="both"/>
        <w:rPr>
          <w:rFonts w:ascii="Arial" w:hAnsi="Arial" w:cs="Arial"/>
          <w:b/>
          <w:sz w:val="24"/>
          <w:szCs w:val="24"/>
        </w:rPr>
      </w:pPr>
    </w:p>
    <w:p w:rsidR="00480409" w:rsidRPr="00480409" w:rsidRDefault="00480409" w:rsidP="00480409">
      <w:pPr>
        <w:spacing w:line="360" w:lineRule="auto"/>
        <w:jc w:val="center"/>
        <w:rPr>
          <w:rFonts w:ascii="Arial" w:eastAsiaTheme="minorHAnsi" w:hAnsi="Arial" w:cs="Arial"/>
          <w:color w:val="000000" w:themeColor="text1"/>
          <w:sz w:val="24"/>
          <w:szCs w:val="24"/>
          <w:lang w:eastAsia="en-US"/>
        </w:rPr>
      </w:pPr>
    </w:p>
    <w:p w:rsidR="00480409" w:rsidRPr="00480409" w:rsidRDefault="00480409" w:rsidP="00480409">
      <w:pPr>
        <w:spacing w:line="360" w:lineRule="auto"/>
        <w:jc w:val="center"/>
        <w:rPr>
          <w:rFonts w:ascii="Arial" w:eastAsiaTheme="minorHAnsi" w:hAnsi="Arial" w:cs="Arial"/>
          <w:color w:val="000000" w:themeColor="text1"/>
          <w:sz w:val="24"/>
          <w:szCs w:val="24"/>
          <w:lang w:eastAsia="en-US"/>
        </w:rPr>
      </w:pPr>
    </w:p>
    <w:p w:rsidR="00480409" w:rsidRPr="00480409" w:rsidRDefault="00480409" w:rsidP="00480409">
      <w:pPr>
        <w:spacing w:line="360" w:lineRule="auto"/>
        <w:jc w:val="center"/>
        <w:rPr>
          <w:rFonts w:ascii="Arial" w:eastAsiaTheme="minorHAnsi" w:hAnsi="Arial" w:cs="Arial"/>
          <w:color w:val="000000" w:themeColor="text1"/>
          <w:sz w:val="24"/>
          <w:szCs w:val="24"/>
          <w:lang w:eastAsia="en-US"/>
        </w:rPr>
      </w:pPr>
    </w:p>
    <w:p w:rsidR="00480409" w:rsidRPr="00480409" w:rsidRDefault="00480409" w:rsidP="00480409">
      <w:pPr>
        <w:spacing w:line="360" w:lineRule="auto"/>
        <w:jc w:val="center"/>
        <w:rPr>
          <w:rFonts w:ascii="Arial" w:eastAsiaTheme="minorHAnsi" w:hAnsi="Arial" w:cs="Arial"/>
          <w:b/>
          <w:color w:val="000000" w:themeColor="text1"/>
          <w:sz w:val="24"/>
          <w:szCs w:val="24"/>
          <w:lang w:eastAsia="en-US"/>
        </w:rPr>
      </w:pPr>
      <w:r w:rsidRPr="00480409">
        <w:rPr>
          <w:rFonts w:ascii="Arial" w:eastAsiaTheme="minorHAnsi" w:hAnsi="Arial" w:cs="Arial"/>
          <w:b/>
          <w:color w:val="000000" w:themeColor="text1"/>
          <w:sz w:val="24"/>
          <w:szCs w:val="24"/>
          <w:lang w:eastAsia="en-US"/>
        </w:rPr>
        <w:t>External auditors</w:t>
      </w:r>
    </w:p>
    <w:p w:rsidR="00480409" w:rsidRPr="00480409" w:rsidRDefault="00480409" w:rsidP="00480409">
      <w:pPr>
        <w:spacing w:line="360" w:lineRule="auto"/>
        <w:rPr>
          <w:rFonts w:ascii="Arial" w:eastAsiaTheme="minorHAnsi" w:hAnsi="Arial" w:cs="Arial"/>
          <w:b/>
          <w:i/>
          <w:sz w:val="24"/>
          <w:szCs w:val="24"/>
          <w:u w:val="single"/>
          <w:lang w:eastAsia="en-US"/>
        </w:rPr>
      </w:pPr>
      <w:r w:rsidRPr="00480409">
        <w:rPr>
          <w:rFonts w:ascii="Arial" w:eastAsiaTheme="minorHAnsi" w:hAnsi="Arial" w:cs="Arial"/>
          <w:b/>
          <w:i/>
          <w:sz w:val="24"/>
          <w:szCs w:val="24"/>
          <w:u w:val="single"/>
          <w:lang w:eastAsia="en-US"/>
        </w:rPr>
        <w:t>What the law says: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The main rules related to the external auditors are in the Company Act of 2008. In particular it states:</w:t>
      </w:r>
    </w:p>
    <w:p w:rsidR="00480409" w:rsidRPr="00480409" w:rsidRDefault="00480409" w:rsidP="00480409">
      <w:pPr>
        <w:spacing w:line="360" w:lineRule="auto"/>
        <w:rPr>
          <w:rFonts w:ascii="Arial" w:eastAsiaTheme="minorHAnsi" w:hAnsi="Arial" w:cs="Arial"/>
          <w:b/>
          <w:i/>
          <w:sz w:val="24"/>
          <w:szCs w:val="24"/>
          <w:lang w:eastAsia="en-US"/>
        </w:rPr>
      </w:pPr>
    </w:p>
    <w:p w:rsidR="00480409" w:rsidRPr="00480409" w:rsidRDefault="00480409" w:rsidP="00480409">
      <w:pPr>
        <w:spacing w:line="360" w:lineRule="auto"/>
        <w:rPr>
          <w:rFonts w:ascii="Arial" w:eastAsiaTheme="minorHAnsi" w:hAnsi="Arial" w:cs="Arial"/>
          <w:b/>
          <w:i/>
          <w:sz w:val="24"/>
          <w:szCs w:val="24"/>
          <w:lang w:eastAsia="en-US"/>
        </w:rPr>
      </w:pPr>
      <w:r w:rsidRPr="00480409">
        <w:rPr>
          <w:rFonts w:ascii="Arial" w:eastAsiaTheme="minorHAnsi" w:hAnsi="Arial" w:cs="Arial"/>
          <w:b/>
          <w:i/>
          <w:sz w:val="24"/>
          <w:szCs w:val="24"/>
          <w:lang w:eastAsia="en-US"/>
        </w:rPr>
        <w:t xml:space="preserve">Appointment of auditor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Each year at its annual general meeting, a public company or state-owned company must appoint an auditor.</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To be appointed as an auditor of a company, a person or firm:</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be a registered auditor</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not be prohibited from being a director of a company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not be:</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w:t>
      </w:r>
      <w:proofErr w:type="gramEnd"/>
      <w:r w:rsidRPr="00480409">
        <w:rPr>
          <w:rFonts w:ascii="Arial" w:eastAsiaTheme="minorHAnsi" w:hAnsi="Arial" w:cs="Arial"/>
          <w:sz w:val="24"/>
          <w:szCs w:val="24"/>
          <w:lang w:eastAsia="en-US"/>
        </w:rPr>
        <w:t xml:space="preserve"> director or prescribed officer of the company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an</w:t>
      </w:r>
      <w:proofErr w:type="gramEnd"/>
      <w:r w:rsidRPr="00480409">
        <w:rPr>
          <w:rFonts w:ascii="Arial" w:eastAsiaTheme="minorHAnsi" w:hAnsi="Arial" w:cs="Arial"/>
          <w:sz w:val="24"/>
          <w:szCs w:val="24"/>
          <w:lang w:eastAsia="en-US"/>
        </w:rPr>
        <w:t xml:space="preserve"> employee or consultant of the company who was or has been engaged for more than one year in the maintenance of any of the company’s financial records or the preparation of any of its financial statements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w:t>
      </w:r>
      <w:proofErr w:type="gramEnd"/>
      <w:r w:rsidRPr="00480409">
        <w:rPr>
          <w:rFonts w:ascii="Arial" w:eastAsiaTheme="minorHAnsi" w:hAnsi="Arial" w:cs="Arial"/>
          <w:sz w:val="24"/>
          <w:szCs w:val="24"/>
          <w:lang w:eastAsia="en-US"/>
        </w:rPr>
        <w:t xml:space="preserve"> director, officer or employee of a person appointed as company secretary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w:t>
      </w:r>
      <w:proofErr w:type="gramEnd"/>
      <w:r w:rsidRPr="00480409">
        <w:rPr>
          <w:rFonts w:ascii="Arial" w:eastAsiaTheme="minorHAnsi" w:hAnsi="Arial" w:cs="Arial"/>
          <w:sz w:val="24"/>
          <w:szCs w:val="24"/>
          <w:lang w:eastAsia="en-US"/>
        </w:rPr>
        <w:t xml:space="preserve"> person who, alone or with a partner or employees, habitually or regularly performs the duties of accountant or bookkeeper, or performs related secretarial work, for the company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w:t>
      </w:r>
      <w:proofErr w:type="gramEnd"/>
      <w:r w:rsidRPr="00480409">
        <w:rPr>
          <w:rFonts w:ascii="Arial" w:eastAsiaTheme="minorHAnsi" w:hAnsi="Arial" w:cs="Arial"/>
          <w:sz w:val="24"/>
          <w:szCs w:val="24"/>
          <w:lang w:eastAsia="en-US"/>
        </w:rPr>
        <w:t xml:space="preserve"> person who, at any time during the five financial years immediately preceding the date of appointment, was a person contemplated above</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w:t>
      </w:r>
      <w:proofErr w:type="gramEnd"/>
      <w:r w:rsidRPr="00480409">
        <w:rPr>
          <w:rFonts w:ascii="Arial" w:eastAsiaTheme="minorHAnsi" w:hAnsi="Arial" w:cs="Arial"/>
          <w:sz w:val="24"/>
          <w:szCs w:val="24"/>
          <w:lang w:eastAsia="en-US"/>
        </w:rPr>
        <w:t xml:space="preserve"> person related to a person contemplated above</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be acceptable to the company’s audit committee as being independent of the company.</w:t>
      </w:r>
    </w:p>
    <w:p w:rsidR="00480409" w:rsidRPr="00480409" w:rsidRDefault="00480409" w:rsidP="00480409">
      <w:pPr>
        <w:spacing w:line="360" w:lineRule="auto"/>
        <w:rPr>
          <w:rFonts w:ascii="Arial" w:eastAsiaTheme="minorHAnsi" w:hAnsi="Arial" w:cs="Arial"/>
          <w:b/>
          <w:i/>
          <w:color w:val="000000" w:themeColor="text1"/>
          <w:sz w:val="24"/>
          <w:szCs w:val="24"/>
          <w:lang w:eastAsia="en-US"/>
        </w:rPr>
      </w:pPr>
    </w:p>
    <w:p w:rsidR="00480409" w:rsidRPr="00480409" w:rsidRDefault="00480409" w:rsidP="00480409">
      <w:pPr>
        <w:spacing w:line="360" w:lineRule="auto"/>
        <w:rPr>
          <w:rFonts w:ascii="Arial" w:eastAsiaTheme="minorHAnsi" w:hAnsi="Arial" w:cs="Arial"/>
          <w:b/>
          <w:i/>
          <w:color w:val="000000" w:themeColor="text1"/>
          <w:sz w:val="24"/>
          <w:szCs w:val="24"/>
          <w:lang w:eastAsia="en-US"/>
        </w:rPr>
      </w:pPr>
      <w:r w:rsidRPr="00480409">
        <w:rPr>
          <w:rFonts w:ascii="Arial" w:eastAsiaTheme="minorHAnsi" w:hAnsi="Arial" w:cs="Arial"/>
          <w:b/>
          <w:i/>
          <w:color w:val="000000" w:themeColor="text1"/>
          <w:sz w:val="24"/>
          <w:szCs w:val="24"/>
          <w:lang w:eastAsia="en-US"/>
        </w:rPr>
        <w:t xml:space="preserve">Rotation of auditor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The same individual may not serve as the auditor or designated auditor of a company for more than five consecutive financial years.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If an individual has served as the auditor or designated auditor of a company for two or more consecutive financial years and then ceases to be the auditor or designated auditor, the individual may not be appointed again until after the expiry of at least two further financial years.</w:t>
      </w:r>
    </w:p>
    <w:p w:rsidR="00480409" w:rsidRPr="00480409" w:rsidRDefault="00480409" w:rsidP="00480409">
      <w:pPr>
        <w:spacing w:line="360" w:lineRule="auto"/>
        <w:rPr>
          <w:rFonts w:ascii="Arial" w:eastAsiaTheme="minorHAnsi" w:hAnsi="Arial" w:cs="Arial"/>
          <w:color w:val="FF0000"/>
          <w:sz w:val="24"/>
          <w:szCs w:val="24"/>
          <w:lang w:eastAsia="en-US"/>
        </w:rPr>
      </w:pPr>
    </w:p>
    <w:p w:rsidR="00480409" w:rsidRPr="00480409" w:rsidRDefault="00480409" w:rsidP="00480409">
      <w:pPr>
        <w:spacing w:line="360" w:lineRule="auto"/>
        <w:rPr>
          <w:rFonts w:ascii="Arial" w:eastAsiaTheme="minorHAnsi" w:hAnsi="Arial" w:cs="Arial"/>
          <w:b/>
          <w:i/>
          <w:color w:val="000000" w:themeColor="text1"/>
          <w:sz w:val="24"/>
          <w:szCs w:val="24"/>
          <w:lang w:eastAsia="en-US"/>
        </w:rPr>
      </w:pPr>
      <w:r w:rsidRPr="00480409">
        <w:rPr>
          <w:rFonts w:ascii="Arial" w:eastAsiaTheme="minorHAnsi" w:hAnsi="Arial" w:cs="Arial"/>
          <w:b/>
          <w:i/>
          <w:color w:val="000000" w:themeColor="text1"/>
          <w:sz w:val="24"/>
          <w:szCs w:val="24"/>
          <w:lang w:eastAsia="en-US"/>
        </w:rPr>
        <w:t xml:space="preserve">Rights and restricted functions of auditors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The auditor of a company: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has</w:t>
      </w:r>
      <w:proofErr w:type="gramEnd"/>
      <w:r w:rsidRPr="00480409">
        <w:rPr>
          <w:rFonts w:ascii="Arial" w:eastAsiaTheme="minorHAnsi" w:hAnsi="Arial" w:cs="Arial"/>
          <w:sz w:val="24"/>
          <w:szCs w:val="24"/>
          <w:lang w:eastAsia="en-US"/>
        </w:rPr>
        <w:t xml:space="preserve"> the right of access at all times to the accounting records and all books and documents of the company, and is entitled to require from the directors or prescribed officers of the company any information and explanations necessary for the performance of the auditor’s duties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in</w:t>
      </w:r>
      <w:proofErr w:type="gramEnd"/>
      <w:r w:rsidRPr="00480409">
        <w:rPr>
          <w:rFonts w:ascii="Arial" w:eastAsiaTheme="minorHAnsi" w:hAnsi="Arial" w:cs="Arial"/>
          <w:sz w:val="24"/>
          <w:szCs w:val="24"/>
          <w:lang w:eastAsia="en-US"/>
        </w:rPr>
        <w:t xml:space="preserve"> the case of the auditor of a holding company, has the right of access to all current and former financial statements of any subsidiary of that holding company and is entitled to require from the directors or officers of the holding company or subsidiary any information and explanations in connection with any such statements and in connection with the accounting records, books and documents of the subsidiary as necessary for the performance of the auditor’s duties is entitled to:</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attend</w:t>
      </w:r>
      <w:proofErr w:type="gramEnd"/>
      <w:r w:rsidRPr="00480409">
        <w:rPr>
          <w:rFonts w:ascii="Arial" w:eastAsiaTheme="minorHAnsi" w:hAnsi="Arial" w:cs="Arial"/>
          <w:sz w:val="24"/>
          <w:szCs w:val="24"/>
          <w:lang w:eastAsia="en-US"/>
        </w:rPr>
        <w:t xml:space="preserve"> any general shareholders meeting</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receive</w:t>
      </w:r>
      <w:proofErr w:type="gramEnd"/>
      <w:r w:rsidRPr="00480409">
        <w:rPr>
          <w:rFonts w:ascii="Arial" w:eastAsiaTheme="minorHAnsi" w:hAnsi="Arial" w:cs="Arial"/>
          <w:sz w:val="24"/>
          <w:szCs w:val="24"/>
          <w:lang w:eastAsia="en-US"/>
        </w:rPr>
        <w:t xml:space="preserve"> all notices of and other communication relating to any general shareholders meeting</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be</w:t>
      </w:r>
      <w:proofErr w:type="gramEnd"/>
      <w:r w:rsidRPr="00480409">
        <w:rPr>
          <w:rFonts w:ascii="Arial" w:eastAsiaTheme="minorHAnsi" w:hAnsi="Arial" w:cs="Arial"/>
          <w:sz w:val="24"/>
          <w:szCs w:val="24"/>
          <w:lang w:eastAsia="en-US"/>
        </w:rPr>
        <w:t xml:space="preserve"> heard at any general shareholders meeting on any part of the business of the meeting that concerns the auditor’s duties or functions.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An auditor appointed by a company may not perform any services for that company: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that</w:t>
      </w:r>
      <w:proofErr w:type="gramEnd"/>
      <w:r w:rsidRPr="00480409">
        <w:rPr>
          <w:rFonts w:ascii="Arial" w:eastAsiaTheme="minorHAnsi" w:hAnsi="Arial" w:cs="Arial"/>
          <w:sz w:val="24"/>
          <w:szCs w:val="24"/>
          <w:lang w:eastAsia="en-US"/>
        </w:rPr>
        <w:t xml:space="preserve"> would place the auditor in a conflict of interest as prescribed or determined by the Independent Regulatory Board for Auditors in terms of section 44(6) of the Auditing Profession Act 26 of 2005; or</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w:t>
      </w:r>
      <w:proofErr w:type="gramStart"/>
      <w:r w:rsidRPr="00480409">
        <w:rPr>
          <w:rFonts w:ascii="Arial" w:eastAsiaTheme="minorHAnsi" w:hAnsi="Arial" w:cs="Arial"/>
          <w:sz w:val="24"/>
          <w:szCs w:val="24"/>
          <w:lang w:eastAsia="en-US"/>
        </w:rPr>
        <w:t>as</w:t>
      </w:r>
      <w:proofErr w:type="gramEnd"/>
      <w:r w:rsidRPr="00480409">
        <w:rPr>
          <w:rFonts w:ascii="Arial" w:eastAsiaTheme="minorHAnsi" w:hAnsi="Arial" w:cs="Arial"/>
          <w:sz w:val="24"/>
          <w:szCs w:val="24"/>
          <w:lang w:eastAsia="en-US"/>
        </w:rPr>
        <w:t xml:space="preserve"> may be determined by the company’s audit committee.</w:t>
      </w:r>
    </w:p>
    <w:p w:rsidR="00480409" w:rsidRPr="00480409" w:rsidRDefault="00480409" w:rsidP="00480409">
      <w:pPr>
        <w:spacing w:line="360" w:lineRule="auto"/>
        <w:rPr>
          <w:rFonts w:ascii="Arial" w:eastAsiaTheme="minorHAnsi" w:hAnsi="Arial" w:cs="Arial"/>
          <w:sz w:val="24"/>
          <w:szCs w:val="24"/>
          <w:lang w:eastAsia="en-US"/>
        </w:rPr>
      </w:pPr>
    </w:p>
    <w:p w:rsidR="00480409" w:rsidRPr="00480409" w:rsidRDefault="00480409" w:rsidP="00480409">
      <w:pPr>
        <w:spacing w:line="360" w:lineRule="auto"/>
        <w:rPr>
          <w:rFonts w:ascii="Arial" w:eastAsiaTheme="minorHAnsi" w:hAnsi="Arial" w:cs="Arial"/>
          <w:b/>
          <w:i/>
          <w:sz w:val="24"/>
          <w:szCs w:val="24"/>
          <w:u w:val="single"/>
          <w:lang w:eastAsia="en-US"/>
        </w:rPr>
      </w:pPr>
      <w:r w:rsidRPr="00480409">
        <w:rPr>
          <w:rFonts w:ascii="Arial" w:eastAsiaTheme="minorHAnsi" w:hAnsi="Arial" w:cs="Arial"/>
          <w:b/>
          <w:i/>
          <w:sz w:val="24"/>
          <w:szCs w:val="24"/>
          <w:u w:val="single"/>
          <w:lang w:eastAsia="en-US"/>
        </w:rPr>
        <w:t>What the recommendations say: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In the King Report III, the external auditors are not really discussed in depth. The main relevance is given under the section 3 related to the role of the Audit Committee that has both some obligations about it (every time it says “must”) and some recommendations (every time it says “should”).</w:t>
      </w:r>
    </w:p>
    <w:p w:rsidR="00480409" w:rsidRPr="00480409" w:rsidRDefault="00480409" w:rsidP="00480409">
      <w:pPr>
        <w:spacing w:line="360" w:lineRule="auto"/>
        <w:rPr>
          <w:rFonts w:ascii="Arial" w:eastAsiaTheme="minorHAnsi" w:hAnsi="Arial" w:cs="Arial"/>
          <w:b/>
          <w:i/>
          <w:color w:val="000000" w:themeColor="text1"/>
          <w:sz w:val="24"/>
          <w:szCs w:val="24"/>
          <w:lang w:eastAsia="en-US"/>
        </w:rPr>
      </w:pPr>
      <w:r w:rsidRPr="00480409">
        <w:rPr>
          <w:rFonts w:ascii="Arial" w:eastAsiaTheme="minorHAnsi" w:hAnsi="Arial" w:cs="Arial"/>
          <w:b/>
          <w:i/>
          <w:color w:val="000000" w:themeColor="text1"/>
          <w:sz w:val="24"/>
          <w:szCs w:val="24"/>
          <w:lang w:eastAsia="en-US"/>
        </w:rPr>
        <w:t>External assurance providers</w:t>
      </w:r>
    </w:p>
    <w:p w:rsidR="00480409" w:rsidRPr="00480409" w:rsidRDefault="00480409" w:rsidP="00480409">
      <w:pPr>
        <w:spacing w:line="360" w:lineRule="auto"/>
        <w:rPr>
          <w:rFonts w:ascii="Arial" w:eastAsiaTheme="minorHAnsi" w:hAnsi="Arial" w:cs="Arial"/>
          <w:sz w:val="24"/>
          <w:szCs w:val="24"/>
          <w:u w:val="single"/>
          <w:lang w:eastAsia="en-US"/>
        </w:rPr>
      </w:pPr>
      <w:r w:rsidRPr="00480409">
        <w:rPr>
          <w:rFonts w:ascii="Arial" w:eastAsiaTheme="minorHAnsi" w:hAnsi="Arial" w:cs="Arial"/>
          <w:sz w:val="24"/>
          <w:szCs w:val="24"/>
          <w:u w:val="single"/>
          <w:lang w:eastAsia="en-US"/>
        </w:rPr>
        <w:t xml:space="preserve"> 3.9. </w:t>
      </w:r>
      <w:proofErr w:type="gramStart"/>
      <w:r w:rsidRPr="00480409">
        <w:rPr>
          <w:rFonts w:ascii="Arial" w:eastAsiaTheme="minorHAnsi" w:hAnsi="Arial" w:cs="Arial"/>
          <w:sz w:val="24"/>
          <w:szCs w:val="24"/>
          <w:u w:val="single"/>
          <w:lang w:eastAsia="en-US"/>
        </w:rPr>
        <w:t>The</w:t>
      </w:r>
      <w:proofErr w:type="gramEnd"/>
      <w:r w:rsidRPr="00480409">
        <w:rPr>
          <w:rFonts w:ascii="Arial" w:eastAsiaTheme="minorHAnsi" w:hAnsi="Arial" w:cs="Arial"/>
          <w:sz w:val="24"/>
          <w:szCs w:val="24"/>
          <w:u w:val="single"/>
          <w:lang w:eastAsia="en-US"/>
        </w:rPr>
        <w:t xml:space="preserve"> audit committee is responsible for recommending the appointment of the external auditor and overseeing the external audit process.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The audit committee:</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3.9.1.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nominate the external auditor for appointment;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3.9.2.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approve the terms of engagement and remuneration for the external audit engagement;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3.9.3.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monitor and report on the independence of the external auditor;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3.9.4. </w:t>
      </w:r>
      <w:proofErr w:type="gramStart"/>
      <w:r w:rsidRPr="00480409">
        <w:rPr>
          <w:rFonts w:ascii="Arial" w:eastAsiaTheme="minorHAnsi" w:hAnsi="Arial" w:cs="Arial"/>
          <w:sz w:val="24"/>
          <w:szCs w:val="24"/>
          <w:lang w:eastAsia="en-US"/>
        </w:rPr>
        <w:t>must</w:t>
      </w:r>
      <w:proofErr w:type="gramEnd"/>
      <w:r w:rsidRPr="00480409">
        <w:rPr>
          <w:rFonts w:ascii="Arial" w:eastAsiaTheme="minorHAnsi" w:hAnsi="Arial" w:cs="Arial"/>
          <w:sz w:val="24"/>
          <w:szCs w:val="24"/>
          <w:lang w:eastAsia="en-US"/>
        </w:rPr>
        <w:t xml:space="preserve"> define a policy for non-audit services provided by the external auditor and must approve the contracts for non-audit services;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3.9.5. </w:t>
      </w:r>
      <w:proofErr w:type="gramStart"/>
      <w:r w:rsidRPr="00480409">
        <w:rPr>
          <w:rFonts w:ascii="Arial" w:eastAsiaTheme="minorHAnsi" w:hAnsi="Arial" w:cs="Arial"/>
          <w:sz w:val="24"/>
          <w:szCs w:val="24"/>
          <w:lang w:eastAsia="en-US"/>
        </w:rPr>
        <w:t>should</w:t>
      </w:r>
      <w:proofErr w:type="gramEnd"/>
      <w:r w:rsidRPr="00480409">
        <w:rPr>
          <w:rFonts w:ascii="Arial" w:eastAsiaTheme="minorHAnsi" w:hAnsi="Arial" w:cs="Arial"/>
          <w:sz w:val="24"/>
          <w:szCs w:val="24"/>
          <w:lang w:eastAsia="en-US"/>
        </w:rPr>
        <w:t xml:space="preserve"> be informed of any Reportable Irregularities identified and reported by the external auditor;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3.9.6. </w:t>
      </w:r>
      <w:proofErr w:type="gramStart"/>
      <w:r w:rsidRPr="00480409">
        <w:rPr>
          <w:rFonts w:ascii="Arial" w:eastAsiaTheme="minorHAnsi" w:hAnsi="Arial" w:cs="Arial"/>
          <w:sz w:val="24"/>
          <w:szCs w:val="24"/>
          <w:lang w:eastAsia="en-US"/>
        </w:rPr>
        <w:t>should</w:t>
      </w:r>
      <w:proofErr w:type="gramEnd"/>
      <w:r w:rsidRPr="00480409">
        <w:rPr>
          <w:rFonts w:ascii="Arial" w:eastAsiaTheme="minorHAnsi" w:hAnsi="Arial" w:cs="Arial"/>
          <w:sz w:val="24"/>
          <w:szCs w:val="24"/>
          <w:lang w:eastAsia="en-US"/>
        </w:rPr>
        <w:t xml:space="preserve"> review the quality and effectiveness of the external audit process.</w:t>
      </w:r>
    </w:p>
    <w:p w:rsidR="00480409" w:rsidRPr="00480409" w:rsidRDefault="00480409" w:rsidP="00480409">
      <w:pPr>
        <w:spacing w:line="360" w:lineRule="auto"/>
        <w:rPr>
          <w:rFonts w:ascii="Arial" w:eastAsiaTheme="minorHAnsi" w:hAnsi="Arial" w:cs="Arial"/>
          <w:sz w:val="24"/>
          <w:szCs w:val="24"/>
          <w:lang w:eastAsia="en-US"/>
        </w:rPr>
      </w:pPr>
    </w:p>
    <w:p w:rsidR="00480409" w:rsidRPr="00480409" w:rsidRDefault="00480409" w:rsidP="00480409">
      <w:pPr>
        <w:spacing w:line="360" w:lineRule="auto"/>
        <w:rPr>
          <w:rFonts w:ascii="Arial" w:eastAsiaTheme="minorHAnsi" w:hAnsi="Arial" w:cs="Arial"/>
          <w:b/>
          <w:sz w:val="24"/>
          <w:szCs w:val="24"/>
          <w:lang w:eastAsia="en-US"/>
        </w:rPr>
      </w:pPr>
      <w:r w:rsidRPr="00480409">
        <w:rPr>
          <w:rFonts w:ascii="Arial" w:eastAsiaTheme="minorHAnsi" w:hAnsi="Arial" w:cs="Arial"/>
          <w:b/>
          <w:sz w:val="24"/>
          <w:szCs w:val="24"/>
          <w:lang w:eastAsia="en-US"/>
        </w:rPr>
        <w:t>Empirical findings: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In the aftermaths of a series of local corporate failures and international governance scandals, the duty to bring “reportable irregularitie</w:t>
      </w:r>
      <w:bookmarkStart w:id="0" w:name="_GoBack"/>
      <w:bookmarkEnd w:id="0"/>
      <w:r w:rsidRPr="00480409">
        <w:rPr>
          <w:rFonts w:ascii="Arial" w:eastAsiaTheme="minorHAnsi" w:hAnsi="Arial" w:cs="Arial"/>
          <w:sz w:val="24"/>
          <w:szCs w:val="24"/>
          <w:lang w:eastAsia="en-US"/>
        </w:rPr>
        <w:t>s” to the attention of the Independent Regulatory Board for Auditors (IRBA) was introduced under section 45 of the Auditing Profession Act No 26 (2005). While in other countries like Malaysia, USA, United Kingdom and France these reporting requirements are applied in limited circumstances, South Africa is one of the few jurisdictions where there is a generic duty to blow the whistle (Ned 2001). This provision has improved the audit quality. For instance it has solved the tensions between reporting transgressions and the opposite duty of client confidentiality if reporting was voluntary (</w:t>
      </w:r>
      <w:proofErr w:type="spellStart"/>
      <w:r w:rsidRPr="00480409">
        <w:rPr>
          <w:rFonts w:ascii="Arial" w:eastAsiaTheme="minorHAnsi" w:hAnsi="Arial" w:cs="Arial"/>
          <w:sz w:val="24"/>
          <w:szCs w:val="24"/>
          <w:lang w:eastAsia="en-US"/>
        </w:rPr>
        <w:t>Maroun</w:t>
      </w:r>
      <w:proofErr w:type="spellEnd"/>
      <w:r w:rsidRPr="00480409">
        <w:rPr>
          <w:rFonts w:ascii="Arial" w:eastAsiaTheme="minorHAnsi" w:hAnsi="Arial" w:cs="Arial"/>
          <w:sz w:val="24"/>
          <w:szCs w:val="24"/>
          <w:lang w:eastAsia="en-US"/>
        </w:rPr>
        <w:t xml:space="preserve"> 2014).  These perceived gains in transparency and conceptions of a whistle-blowing duty being in the public interest are important sources of pragmatic and moral legitimacy. Concurrently, the RI provisions mark an increasing move away from the self-regulatory </w:t>
      </w:r>
      <w:proofErr w:type="gramStart"/>
      <w:r w:rsidRPr="00480409">
        <w:rPr>
          <w:rFonts w:ascii="Arial" w:eastAsiaTheme="minorHAnsi" w:hAnsi="Arial" w:cs="Arial"/>
          <w:sz w:val="24"/>
          <w:szCs w:val="24"/>
          <w:lang w:eastAsia="en-US"/>
        </w:rPr>
        <w:t>paradigm which</w:t>
      </w:r>
      <w:proofErr w:type="gramEnd"/>
      <w:r w:rsidRPr="00480409">
        <w:rPr>
          <w:rFonts w:ascii="Arial" w:eastAsiaTheme="minorHAnsi" w:hAnsi="Arial" w:cs="Arial"/>
          <w:sz w:val="24"/>
          <w:szCs w:val="24"/>
          <w:lang w:eastAsia="en-US"/>
        </w:rPr>
        <w:t xml:space="preserve"> may be suffering from impaired legitimisation. (</w:t>
      </w:r>
      <w:proofErr w:type="spellStart"/>
      <w:r w:rsidRPr="00480409">
        <w:rPr>
          <w:rFonts w:ascii="Arial" w:eastAsiaTheme="minorHAnsi" w:hAnsi="Arial" w:cs="Arial"/>
          <w:sz w:val="24"/>
          <w:szCs w:val="24"/>
          <w:lang w:eastAsia="en-US"/>
        </w:rPr>
        <w:t>Maroun</w:t>
      </w:r>
      <w:proofErr w:type="spellEnd"/>
      <w:r w:rsidRPr="00480409">
        <w:rPr>
          <w:rFonts w:ascii="Arial" w:eastAsiaTheme="minorHAnsi" w:hAnsi="Arial" w:cs="Arial"/>
          <w:sz w:val="24"/>
          <w:szCs w:val="24"/>
          <w:lang w:eastAsia="en-US"/>
        </w:rPr>
        <w:t xml:space="preserve">, Solomon 2013). </w:t>
      </w:r>
    </w:p>
    <w:p w:rsidR="00480409" w:rsidRPr="00480409" w:rsidRDefault="00480409" w:rsidP="00480409">
      <w:pPr>
        <w:spacing w:line="360" w:lineRule="auto"/>
        <w:rPr>
          <w:rFonts w:ascii="Arial" w:hAnsi="Arial" w:cs="Arial"/>
          <w:b/>
          <w:sz w:val="24"/>
          <w:szCs w:val="24"/>
        </w:rPr>
      </w:pPr>
    </w:p>
    <w:p w:rsidR="00480409" w:rsidRPr="00480409" w:rsidRDefault="00480409" w:rsidP="00480409">
      <w:pPr>
        <w:spacing w:line="360" w:lineRule="auto"/>
        <w:jc w:val="center"/>
        <w:rPr>
          <w:rFonts w:ascii="Arial" w:eastAsiaTheme="minorHAnsi" w:hAnsi="Arial" w:cs="Arial"/>
          <w:b/>
          <w:sz w:val="24"/>
          <w:szCs w:val="24"/>
          <w:lang w:eastAsia="en-US"/>
        </w:rPr>
      </w:pPr>
      <w:r w:rsidRPr="00480409">
        <w:rPr>
          <w:rFonts w:ascii="Arial" w:eastAsiaTheme="minorHAnsi" w:hAnsi="Arial" w:cs="Arial"/>
          <w:b/>
          <w:sz w:val="24"/>
          <w:szCs w:val="24"/>
          <w:lang w:eastAsia="en-US"/>
        </w:rPr>
        <w:t>Remuneration of executive</w:t>
      </w:r>
    </w:p>
    <w:p w:rsidR="00480409" w:rsidRPr="00480409" w:rsidRDefault="00480409" w:rsidP="00480409">
      <w:pPr>
        <w:spacing w:line="360" w:lineRule="auto"/>
        <w:rPr>
          <w:rFonts w:ascii="Arial" w:eastAsiaTheme="minorHAnsi" w:hAnsi="Arial" w:cs="Arial"/>
          <w:b/>
          <w:i/>
          <w:sz w:val="24"/>
          <w:szCs w:val="24"/>
          <w:u w:val="single"/>
          <w:lang w:eastAsia="en-US"/>
        </w:rPr>
      </w:pPr>
    </w:p>
    <w:p w:rsidR="00480409" w:rsidRPr="00480409" w:rsidRDefault="00480409" w:rsidP="00480409">
      <w:pPr>
        <w:spacing w:line="360" w:lineRule="auto"/>
        <w:rPr>
          <w:rFonts w:ascii="Arial" w:eastAsiaTheme="minorHAnsi" w:hAnsi="Arial" w:cs="Arial"/>
          <w:b/>
          <w:i/>
          <w:sz w:val="24"/>
          <w:szCs w:val="24"/>
          <w:u w:val="single"/>
          <w:lang w:eastAsia="en-US"/>
        </w:rPr>
      </w:pPr>
      <w:r w:rsidRPr="00480409">
        <w:rPr>
          <w:rFonts w:ascii="Arial" w:eastAsiaTheme="minorHAnsi" w:hAnsi="Arial" w:cs="Arial"/>
          <w:b/>
          <w:i/>
          <w:sz w:val="24"/>
          <w:szCs w:val="24"/>
          <w:u w:val="single"/>
          <w:lang w:eastAsia="en-US"/>
        </w:rPr>
        <w:t>What the recommendations say:</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The King Report III gives advises about the remuneration of the executives directors and the senior executives through three main principles. </w:t>
      </w:r>
    </w:p>
    <w:p w:rsidR="00480409" w:rsidRPr="00480409" w:rsidRDefault="00480409" w:rsidP="00480409">
      <w:pPr>
        <w:spacing w:line="360" w:lineRule="auto"/>
        <w:rPr>
          <w:rFonts w:ascii="Arial" w:eastAsiaTheme="minorHAnsi" w:hAnsi="Arial" w:cs="Arial"/>
          <w:sz w:val="24"/>
          <w:szCs w:val="24"/>
          <w:lang w:eastAsia="en-US"/>
        </w:rPr>
      </w:pPr>
    </w:p>
    <w:p w:rsidR="00480409" w:rsidRPr="00480409" w:rsidRDefault="00480409" w:rsidP="00480409">
      <w:pPr>
        <w:spacing w:line="360" w:lineRule="auto"/>
        <w:rPr>
          <w:rFonts w:ascii="Arial" w:eastAsiaTheme="minorHAnsi" w:hAnsi="Arial" w:cs="Arial"/>
          <w:b/>
          <w:i/>
          <w:sz w:val="24"/>
          <w:szCs w:val="24"/>
          <w:lang w:eastAsia="en-US"/>
        </w:rPr>
      </w:pPr>
      <w:r w:rsidRPr="00480409">
        <w:rPr>
          <w:rFonts w:ascii="Arial" w:eastAsiaTheme="minorHAnsi" w:hAnsi="Arial" w:cs="Arial"/>
          <w:b/>
          <w:i/>
          <w:sz w:val="24"/>
          <w:szCs w:val="24"/>
          <w:lang w:eastAsia="en-US"/>
        </w:rPr>
        <w:t xml:space="preserve">Remuneration of directors and senior executives </w:t>
      </w:r>
    </w:p>
    <w:p w:rsidR="00480409" w:rsidRPr="00480409" w:rsidRDefault="00480409" w:rsidP="00480409">
      <w:pPr>
        <w:spacing w:line="360" w:lineRule="auto"/>
        <w:rPr>
          <w:rFonts w:ascii="Arial" w:eastAsiaTheme="minorHAnsi" w:hAnsi="Arial" w:cs="Arial"/>
          <w:sz w:val="24"/>
          <w:szCs w:val="24"/>
          <w:u w:val="single"/>
          <w:lang w:eastAsia="en-US"/>
        </w:rPr>
      </w:pPr>
      <w:r w:rsidRPr="00480409">
        <w:rPr>
          <w:rFonts w:ascii="Arial" w:eastAsiaTheme="minorHAnsi" w:hAnsi="Arial" w:cs="Arial"/>
          <w:sz w:val="24"/>
          <w:szCs w:val="24"/>
          <w:u w:val="single"/>
          <w:lang w:eastAsia="en-US"/>
        </w:rPr>
        <w:t xml:space="preserve">2.25.Companies should remunerate directors and executives fairly and responsibly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2.25.1. Companies should adopt remuneration policies aligned with the strategy of the company and linked to individual performance.</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2.25.2.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remuneration committee should assist the board in setting and administering remuneration policies.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2.25.3.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remuneration policy should address base pay and bonuses, employee contracts, severance and retirement benefits and share-based and other long-term incentive schemes.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2.25.4. Non-executive fees should comprise a base fee as well as an attendance fee per meeting. </w:t>
      </w:r>
    </w:p>
    <w:p w:rsidR="00480409" w:rsidRPr="00480409" w:rsidRDefault="00480409" w:rsidP="00480409">
      <w:pPr>
        <w:spacing w:line="360" w:lineRule="auto"/>
        <w:rPr>
          <w:rFonts w:ascii="Arial" w:eastAsiaTheme="minorHAnsi" w:hAnsi="Arial" w:cs="Arial"/>
          <w:sz w:val="24"/>
          <w:szCs w:val="24"/>
          <w:lang w:eastAsia="en-US"/>
        </w:rPr>
      </w:pPr>
    </w:p>
    <w:p w:rsidR="00480409" w:rsidRPr="00480409" w:rsidRDefault="00480409" w:rsidP="00480409">
      <w:pPr>
        <w:spacing w:line="360" w:lineRule="auto"/>
        <w:rPr>
          <w:rFonts w:ascii="Arial" w:eastAsiaTheme="minorHAnsi" w:hAnsi="Arial" w:cs="Arial"/>
          <w:sz w:val="24"/>
          <w:szCs w:val="24"/>
          <w:u w:val="single"/>
          <w:lang w:eastAsia="en-US"/>
        </w:rPr>
      </w:pPr>
      <w:r w:rsidRPr="00480409">
        <w:rPr>
          <w:rFonts w:ascii="Arial" w:eastAsiaTheme="minorHAnsi" w:hAnsi="Arial" w:cs="Arial"/>
          <w:sz w:val="24"/>
          <w:szCs w:val="24"/>
          <w:u w:val="single"/>
          <w:lang w:eastAsia="en-US"/>
        </w:rPr>
        <w:t xml:space="preserve">2.26. Companies should disclose the remuneration of each individual director and prescribed officer. The remuneration report, included in the integrated report, should include: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2.26.1. </w:t>
      </w:r>
      <w:proofErr w:type="gramStart"/>
      <w:r w:rsidRPr="00480409">
        <w:rPr>
          <w:rFonts w:ascii="Arial" w:eastAsiaTheme="minorHAnsi" w:hAnsi="Arial" w:cs="Arial"/>
          <w:sz w:val="24"/>
          <w:szCs w:val="24"/>
          <w:lang w:eastAsia="en-US"/>
        </w:rPr>
        <w:t>all</w:t>
      </w:r>
      <w:proofErr w:type="gramEnd"/>
      <w:r w:rsidRPr="00480409">
        <w:rPr>
          <w:rFonts w:ascii="Arial" w:eastAsiaTheme="minorHAnsi" w:hAnsi="Arial" w:cs="Arial"/>
          <w:sz w:val="24"/>
          <w:szCs w:val="24"/>
          <w:lang w:eastAsia="en-US"/>
        </w:rPr>
        <w:t xml:space="preserve"> benefits paid to directors;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2.26.2. </w:t>
      </w:r>
      <w:proofErr w:type="gramStart"/>
      <w:r w:rsidRPr="00480409">
        <w:rPr>
          <w:rFonts w:ascii="Arial" w:eastAsiaTheme="minorHAnsi" w:hAnsi="Arial" w:cs="Arial"/>
          <w:sz w:val="24"/>
          <w:szCs w:val="24"/>
          <w:lang w:eastAsia="en-US"/>
        </w:rPr>
        <w:t>all</w:t>
      </w:r>
      <w:proofErr w:type="gramEnd"/>
      <w:r w:rsidRPr="00480409">
        <w:rPr>
          <w:rFonts w:ascii="Arial" w:eastAsiaTheme="minorHAnsi" w:hAnsi="Arial" w:cs="Arial"/>
          <w:sz w:val="24"/>
          <w:szCs w:val="24"/>
          <w:lang w:eastAsia="en-US"/>
        </w:rPr>
        <w:t xml:space="preserve"> benefits paid to prescribed officers;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2.26.3.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policy on base pay;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2.26.4. </w:t>
      </w:r>
      <w:proofErr w:type="gramStart"/>
      <w:r w:rsidRPr="00480409">
        <w:rPr>
          <w:rFonts w:ascii="Arial" w:eastAsiaTheme="minorHAnsi" w:hAnsi="Arial" w:cs="Arial"/>
          <w:sz w:val="24"/>
          <w:szCs w:val="24"/>
          <w:lang w:eastAsia="en-US"/>
        </w:rPr>
        <w:t>participation</w:t>
      </w:r>
      <w:proofErr w:type="gramEnd"/>
      <w:r w:rsidRPr="00480409">
        <w:rPr>
          <w:rFonts w:ascii="Arial" w:eastAsiaTheme="minorHAnsi" w:hAnsi="Arial" w:cs="Arial"/>
          <w:sz w:val="24"/>
          <w:szCs w:val="24"/>
          <w:lang w:eastAsia="en-US"/>
        </w:rPr>
        <w:t xml:space="preserve"> in share incentive schemes;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2.26.5.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use of benchmarks;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2.26.6. </w:t>
      </w:r>
      <w:proofErr w:type="gramStart"/>
      <w:r w:rsidRPr="00480409">
        <w:rPr>
          <w:rFonts w:ascii="Arial" w:eastAsiaTheme="minorHAnsi" w:hAnsi="Arial" w:cs="Arial"/>
          <w:sz w:val="24"/>
          <w:szCs w:val="24"/>
          <w:lang w:eastAsia="en-US"/>
        </w:rPr>
        <w:t>incentive</w:t>
      </w:r>
      <w:proofErr w:type="gramEnd"/>
      <w:r w:rsidRPr="00480409">
        <w:rPr>
          <w:rFonts w:ascii="Arial" w:eastAsiaTheme="minorHAnsi" w:hAnsi="Arial" w:cs="Arial"/>
          <w:sz w:val="24"/>
          <w:szCs w:val="24"/>
          <w:lang w:eastAsia="en-US"/>
        </w:rPr>
        <w:t xml:space="preserve"> schemes to encourage retention;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2.26.7. </w:t>
      </w:r>
      <w:proofErr w:type="gramStart"/>
      <w:r w:rsidRPr="00480409">
        <w:rPr>
          <w:rFonts w:ascii="Arial" w:eastAsiaTheme="minorHAnsi" w:hAnsi="Arial" w:cs="Arial"/>
          <w:sz w:val="24"/>
          <w:szCs w:val="24"/>
          <w:lang w:eastAsia="en-US"/>
        </w:rPr>
        <w:t>justification</w:t>
      </w:r>
      <w:proofErr w:type="gramEnd"/>
      <w:r w:rsidRPr="00480409">
        <w:rPr>
          <w:rFonts w:ascii="Arial" w:eastAsiaTheme="minorHAnsi" w:hAnsi="Arial" w:cs="Arial"/>
          <w:sz w:val="24"/>
          <w:szCs w:val="24"/>
          <w:lang w:eastAsia="en-US"/>
        </w:rPr>
        <w:t xml:space="preserve"> of salaries above the median;</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 2.26.8. </w:t>
      </w:r>
      <w:proofErr w:type="gramStart"/>
      <w:r w:rsidRPr="00480409">
        <w:rPr>
          <w:rFonts w:ascii="Arial" w:eastAsiaTheme="minorHAnsi" w:hAnsi="Arial" w:cs="Arial"/>
          <w:sz w:val="24"/>
          <w:szCs w:val="24"/>
          <w:lang w:eastAsia="en-US"/>
        </w:rPr>
        <w:t>material</w:t>
      </w:r>
      <w:proofErr w:type="gramEnd"/>
      <w:r w:rsidRPr="00480409">
        <w:rPr>
          <w:rFonts w:ascii="Arial" w:eastAsiaTheme="minorHAnsi" w:hAnsi="Arial" w:cs="Arial"/>
          <w:sz w:val="24"/>
          <w:szCs w:val="24"/>
          <w:lang w:eastAsia="en-US"/>
        </w:rPr>
        <w:t xml:space="preserve"> payments that are ex-gratia in nature;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2.26.9. </w:t>
      </w:r>
      <w:proofErr w:type="gramStart"/>
      <w:r w:rsidRPr="00480409">
        <w:rPr>
          <w:rFonts w:ascii="Arial" w:eastAsiaTheme="minorHAnsi" w:hAnsi="Arial" w:cs="Arial"/>
          <w:sz w:val="24"/>
          <w:szCs w:val="24"/>
          <w:lang w:eastAsia="en-US"/>
        </w:rPr>
        <w:t>policies</w:t>
      </w:r>
      <w:proofErr w:type="gramEnd"/>
      <w:r w:rsidRPr="00480409">
        <w:rPr>
          <w:rFonts w:ascii="Arial" w:eastAsiaTheme="minorHAnsi" w:hAnsi="Arial" w:cs="Arial"/>
          <w:sz w:val="24"/>
          <w:szCs w:val="24"/>
          <w:lang w:eastAsia="en-US"/>
        </w:rPr>
        <w:t xml:space="preserve"> regarding executive employment; and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2.26.10.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maximum expected potential dilution as a result of incentive awards. </w:t>
      </w:r>
    </w:p>
    <w:p w:rsidR="00480409" w:rsidRPr="00480409" w:rsidRDefault="00480409" w:rsidP="00480409">
      <w:pPr>
        <w:spacing w:line="360" w:lineRule="auto"/>
        <w:rPr>
          <w:rFonts w:ascii="Arial" w:eastAsiaTheme="minorHAnsi" w:hAnsi="Arial" w:cs="Arial"/>
          <w:sz w:val="24"/>
          <w:szCs w:val="24"/>
          <w:lang w:eastAsia="en-US"/>
        </w:rPr>
      </w:pPr>
    </w:p>
    <w:p w:rsidR="00480409" w:rsidRPr="00480409" w:rsidRDefault="00480409" w:rsidP="00480409">
      <w:pPr>
        <w:spacing w:line="360" w:lineRule="auto"/>
        <w:rPr>
          <w:rFonts w:ascii="Arial" w:eastAsiaTheme="minorHAnsi" w:hAnsi="Arial" w:cs="Arial"/>
          <w:sz w:val="24"/>
          <w:szCs w:val="24"/>
          <w:u w:val="single"/>
          <w:lang w:eastAsia="en-US"/>
        </w:rPr>
      </w:pPr>
      <w:r w:rsidRPr="00480409">
        <w:rPr>
          <w:rFonts w:ascii="Arial" w:eastAsiaTheme="minorHAnsi" w:hAnsi="Arial" w:cs="Arial"/>
          <w:sz w:val="24"/>
          <w:szCs w:val="24"/>
          <w:u w:val="single"/>
          <w:lang w:eastAsia="en-US"/>
        </w:rPr>
        <w:t xml:space="preserve">2.27.Shareholders should approve the company’s remuneration policy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2.27.1. Shareholders should pass a non-binding advisory vote on the company’s yearly remuneration policy.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 xml:space="preserve">2.27.2. </w:t>
      </w:r>
      <w:proofErr w:type="gramStart"/>
      <w:r w:rsidRPr="00480409">
        <w:rPr>
          <w:rFonts w:ascii="Arial" w:eastAsiaTheme="minorHAnsi" w:hAnsi="Arial" w:cs="Arial"/>
          <w:sz w:val="24"/>
          <w:szCs w:val="24"/>
          <w:lang w:eastAsia="en-US"/>
        </w:rPr>
        <w:t>The</w:t>
      </w:r>
      <w:proofErr w:type="gramEnd"/>
      <w:r w:rsidRPr="00480409">
        <w:rPr>
          <w:rFonts w:ascii="Arial" w:eastAsiaTheme="minorHAnsi" w:hAnsi="Arial" w:cs="Arial"/>
          <w:sz w:val="24"/>
          <w:szCs w:val="24"/>
          <w:lang w:eastAsia="en-US"/>
        </w:rPr>
        <w:t xml:space="preserve"> board should determine the remuneration of executive directors in accordance with the remuneration policy put to shareholder’s vote.</w:t>
      </w:r>
    </w:p>
    <w:p w:rsidR="00480409" w:rsidRPr="00480409" w:rsidRDefault="00480409" w:rsidP="00480409">
      <w:pPr>
        <w:spacing w:line="360" w:lineRule="auto"/>
        <w:rPr>
          <w:rFonts w:ascii="Arial" w:hAnsi="Arial" w:cs="Arial"/>
          <w:b/>
          <w:sz w:val="24"/>
          <w:szCs w:val="24"/>
        </w:rPr>
      </w:pPr>
    </w:p>
    <w:p w:rsidR="00480409" w:rsidRPr="00480409" w:rsidRDefault="00480409" w:rsidP="00480409">
      <w:pPr>
        <w:spacing w:line="360" w:lineRule="auto"/>
        <w:rPr>
          <w:rFonts w:ascii="Arial" w:eastAsiaTheme="minorHAnsi" w:hAnsi="Arial" w:cs="Arial"/>
          <w:b/>
          <w:sz w:val="24"/>
          <w:szCs w:val="24"/>
          <w:lang w:eastAsia="en-US"/>
        </w:rPr>
      </w:pPr>
      <w:r w:rsidRPr="00480409">
        <w:rPr>
          <w:rFonts w:ascii="Arial" w:eastAsiaTheme="minorHAnsi" w:hAnsi="Arial" w:cs="Arial"/>
          <w:b/>
          <w:sz w:val="24"/>
          <w:szCs w:val="24"/>
          <w:lang w:eastAsia="en-US"/>
        </w:rPr>
        <w:t xml:space="preserve">Empirical findings: </w:t>
      </w:r>
    </w:p>
    <w:p w:rsidR="00480409" w:rsidRPr="00480409" w:rsidRDefault="00480409" w:rsidP="00480409">
      <w:pPr>
        <w:spacing w:line="360" w:lineRule="auto"/>
        <w:rPr>
          <w:rFonts w:ascii="Arial" w:eastAsiaTheme="minorHAnsi" w:hAnsi="Arial" w:cs="Arial"/>
          <w:sz w:val="24"/>
          <w:szCs w:val="24"/>
          <w:lang w:eastAsia="en-US"/>
        </w:rPr>
      </w:pPr>
      <w:proofErr w:type="spellStart"/>
      <w:r w:rsidRPr="00480409">
        <w:rPr>
          <w:rFonts w:ascii="Arial" w:eastAsiaTheme="minorHAnsi" w:hAnsi="Arial" w:cs="Arial"/>
          <w:sz w:val="24"/>
          <w:szCs w:val="24"/>
          <w:lang w:eastAsia="en-US"/>
        </w:rPr>
        <w:t>Sarkar</w:t>
      </w:r>
      <w:proofErr w:type="spellEnd"/>
      <w:r w:rsidRPr="00480409">
        <w:rPr>
          <w:rFonts w:ascii="Arial" w:eastAsiaTheme="minorHAnsi" w:hAnsi="Arial" w:cs="Arial"/>
          <w:sz w:val="24"/>
          <w:szCs w:val="24"/>
          <w:lang w:eastAsia="en-US"/>
        </w:rPr>
        <w:t xml:space="preserve"> and </w:t>
      </w:r>
      <w:proofErr w:type="spellStart"/>
      <w:r w:rsidRPr="00480409">
        <w:rPr>
          <w:rFonts w:ascii="Arial" w:eastAsiaTheme="minorHAnsi" w:hAnsi="Arial" w:cs="Arial"/>
          <w:sz w:val="24"/>
          <w:szCs w:val="24"/>
          <w:lang w:eastAsia="en-US"/>
        </w:rPr>
        <w:t>Sarkar</w:t>
      </w:r>
      <w:proofErr w:type="spellEnd"/>
      <w:r w:rsidRPr="00480409">
        <w:rPr>
          <w:rFonts w:ascii="Arial" w:eastAsiaTheme="minorHAnsi" w:hAnsi="Arial" w:cs="Arial"/>
          <w:sz w:val="24"/>
          <w:szCs w:val="24"/>
          <w:lang w:eastAsia="en-US"/>
        </w:rPr>
        <w:t xml:space="preserve"> (2009) found that the more involved the non-executive directors were, the better the alignment was between CEO/CFO with company performance. Kula (2005) pointed towards better agency control in companies having separate roles of CEO and chairman.</w:t>
      </w:r>
    </w:p>
    <w:p w:rsidR="00480409" w:rsidRPr="00480409" w:rsidRDefault="00480409" w:rsidP="00480409">
      <w:pPr>
        <w:spacing w:line="360" w:lineRule="auto"/>
        <w:rPr>
          <w:rFonts w:ascii="Arial" w:eastAsiaTheme="minorHAnsi" w:hAnsi="Arial" w:cs="Arial"/>
          <w:sz w:val="24"/>
          <w:szCs w:val="24"/>
          <w:lang w:eastAsia="en-US"/>
        </w:rPr>
      </w:pPr>
      <w:proofErr w:type="spellStart"/>
      <w:r w:rsidRPr="00480409">
        <w:rPr>
          <w:rFonts w:ascii="Arial" w:eastAsiaTheme="minorHAnsi" w:hAnsi="Arial" w:cs="Arial"/>
          <w:sz w:val="24"/>
          <w:szCs w:val="24"/>
          <w:lang w:eastAsia="en-US"/>
        </w:rPr>
        <w:t>Alshimiri</w:t>
      </w:r>
      <w:proofErr w:type="spellEnd"/>
      <w:r w:rsidRPr="00480409">
        <w:rPr>
          <w:rFonts w:ascii="Arial" w:eastAsiaTheme="minorHAnsi" w:hAnsi="Arial" w:cs="Arial"/>
          <w:sz w:val="24"/>
          <w:szCs w:val="24"/>
          <w:lang w:eastAsia="en-US"/>
        </w:rPr>
        <w:t xml:space="preserve"> (2004) discussed that shareholders’ wealth is higher in a </w:t>
      </w:r>
      <w:proofErr w:type="gramStart"/>
      <w:r w:rsidRPr="00480409">
        <w:rPr>
          <w:rFonts w:ascii="Arial" w:eastAsiaTheme="minorHAnsi" w:hAnsi="Arial" w:cs="Arial"/>
          <w:sz w:val="24"/>
          <w:szCs w:val="24"/>
          <w:lang w:eastAsia="en-US"/>
        </w:rPr>
        <w:t>company which</w:t>
      </w:r>
      <w:proofErr w:type="gramEnd"/>
      <w:r w:rsidRPr="00480409">
        <w:rPr>
          <w:rFonts w:ascii="Arial" w:eastAsiaTheme="minorHAnsi" w:hAnsi="Arial" w:cs="Arial"/>
          <w:sz w:val="24"/>
          <w:szCs w:val="24"/>
          <w:lang w:eastAsia="en-US"/>
        </w:rPr>
        <w:t xml:space="preserve"> had a large board. </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br w:type="page"/>
      </w:r>
    </w:p>
    <w:p w:rsidR="00480409" w:rsidRPr="00480409" w:rsidRDefault="00480409" w:rsidP="00480409">
      <w:pPr>
        <w:spacing w:line="360" w:lineRule="auto"/>
        <w:rPr>
          <w:rFonts w:ascii="Arial" w:hAnsi="Arial" w:cs="Arial"/>
          <w:sz w:val="24"/>
          <w:szCs w:val="24"/>
        </w:rPr>
      </w:pPr>
      <w:r w:rsidRPr="00480409">
        <w:rPr>
          <w:rFonts w:ascii="Arial" w:hAnsi="Arial" w:cs="Arial"/>
          <w:sz w:val="24"/>
          <w:szCs w:val="24"/>
        </w:rPr>
        <w:t>SOUTH AFRICA CAPITAL MARKET</w:t>
      </w:r>
    </w:p>
    <w:p w:rsidR="00480409" w:rsidRPr="00480409" w:rsidRDefault="00480409" w:rsidP="00480409">
      <w:pPr>
        <w:pStyle w:val="ListParagraph"/>
        <w:numPr>
          <w:ilvl w:val="0"/>
          <w:numId w:val="6"/>
        </w:numPr>
        <w:autoSpaceDE w:val="0"/>
        <w:autoSpaceDN w:val="0"/>
        <w:adjustRightInd w:val="0"/>
        <w:spacing w:after="0" w:line="360" w:lineRule="auto"/>
        <w:rPr>
          <w:rFonts w:ascii="Arial" w:hAnsi="Arial" w:cs="Arial"/>
          <w:sz w:val="24"/>
          <w:szCs w:val="24"/>
        </w:rPr>
      </w:pPr>
      <w:r w:rsidRPr="00480409">
        <w:rPr>
          <w:rFonts w:ascii="Arial" w:hAnsi="Arial" w:cs="Arial"/>
          <w:sz w:val="24"/>
          <w:szCs w:val="24"/>
        </w:rPr>
        <w:t xml:space="preserve">Johannesburg Stock Exchange (JSE) was founded in 1887. It is consistently </w:t>
      </w:r>
      <w:r w:rsidRPr="00480409">
        <w:rPr>
          <w:rFonts w:ascii="Arial" w:hAnsi="Arial" w:cs="Arial"/>
          <w:b/>
          <w:sz w:val="24"/>
          <w:szCs w:val="24"/>
        </w:rPr>
        <w:t>one of the world’s twenty largest stock market</w:t>
      </w:r>
      <w:r w:rsidRPr="00480409">
        <w:rPr>
          <w:rFonts w:ascii="Arial" w:hAnsi="Arial" w:cs="Arial"/>
          <w:sz w:val="24"/>
          <w:szCs w:val="24"/>
        </w:rPr>
        <w:t>s. It is the only licensed exchange for the listing of equity and debt securities in SA.</w:t>
      </w:r>
    </w:p>
    <w:p w:rsidR="00480409" w:rsidRPr="00480409" w:rsidRDefault="00480409" w:rsidP="00480409">
      <w:pPr>
        <w:pStyle w:val="ListParagraph"/>
        <w:numPr>
          <w:ilvl w:val="0"/>
          <w:numId w:val="6"/>
        </w:numPr>
        <w:autoSpaceDE w:val="0"/>
        <w:autoSpaceDN w:val="0"/>
        <w:adjustRightInd w:val="0"/>
        <w:spacing w:after="0" w:line="360" w:lineRule="auto"/>
        <w:rPr>
          <w:rFonts w:ascii="Arial" w:hAnsi="Arial" w:cs="Arial"/>
          <w:sz w:val="24"/>
          <w:szCs w:val="24"/>
        </w:rPr>
      </w:pPr>
      <w:r w:rsidRPr="00480409">
        <w:rPr>
          <w:rFonts w:ascii="Arial" w:hAnsi="Arial" w:cs="Arial"/>
          <w:sz w:val="24"/>
          <w:szCs w:val="24"/>
        </w:rPr>
        <w:t>The importance of liquidity?</w:t>
      </w:r>
    </w:p>
    <w:p w:rsidR="00480409" w:rsidRPr="00480409" w:rsidRDefault="00480409" w:rsidP="00480409">
      <w:pPr>
        <w:pStyle w:val="ListParagraph"/>
        <w:autoSpaceDE w:val="0"/>
        <w:autoSpaceDN w:val="0"/>
        <w:adjustRightInd w:val="0"/>
        <w:spacing w:after="0" w:line="360" w:lineRule="auto"/>
        <w:rPr>
          <w:rFonts w:ascii="Arial" w:hAnsi="Arial" w:cs="Arial"/>
          <w:sz w:val="24"/>
          <w:szCs w:val="24"/>
        </w:rPr>
      </w:pPr>
      <w:r w:rsidRPr="00480409">
        <w:rPr>
          <w:rFonts w:ascii="Arial" w:hAnsi="Arial" w:cs="Arial"/>
          <w:sz w:val="24"/>
          <w:szCs w:val="24"/>
        </w:rPr>
        <w:t xml:space="preserve">Company management wants good quality liquidity that properly values price, especially if the company </w:t>
      </w:r>
      <w:r w:rsidRPr="00480409">
        <w:rPr>
          <w:rFonts w:ascii="Arial" w:hAnsi="Arial" w:cs="Arial"/>
          <w:b/>
          <w:sz w:val="24"/>
          <w:szCs w:val="24"/>
        </w:rPr>
        <w:t xml:space="preserve">intends on coming to the market for further issues and capital </w:t>
      </w:r>
      <w:proofErr w:type="gramStart"/>
      <w:r w:rsidRPr="00480409">
        <w:rPr>
          <w:rFonts w:ascii="Arial" w:hAnsi="Arial" w:cs="Arial"/>
          <w:b/>
          <w:sz w:val="24"/>
          <w:szCs w:val="24"/>
        </w:rPr>
        <w:t>raising</w:t>
      </w:r>
      <w:proofErr w:type="gramEnd"/>
      <w:r w:rsidRPr="00480409">
        <w:rPr>
          <w:rFonts w:ascii="Arial" w:hAnsi="Arial" w:cs="Arial"/>
          <w:b/>
          <w:sz w:val="24"/>
          <w:szCs w:val="24"/>
        </w:rPr>
        <w:t>, or is even considering a possible exit.</w:t>
      </w:r>
    </w:p>
    <w:p w:rsidR="00480409" w:rsidRPr="00480409" w:rsidRDefault="00480409" w:rsidP="00480409">
      <w:pPr>
        <w:pStyle w:val="ListParagraph"/>
        <w:numPr>
          <w:ilvl w:val="0"/>
          <w:numId w:val="5"/>
        </w:numPr>
        <w:spacing w:line="360" w:lineRule="auto"/>
        <w:rPr>
          <w:rFonts w:ascii="Arial" w:hAnsi="Arial" w:cs="Arial"/>
          <w:sz w:val="24"/>
          <w:szCs w:val="24"/>
        </w:rPr>
      </w:pPr>
      <w:r w:rsidRPr="00480409">
        <w:rPr>
          <w:rFonts w:ascii="Arial" w:hAnsi="Arial" w:cs="Arial"/>
          <w:b/>
          <w:sz w:val="24"/>
          <w:szCs w:val="24"/>
        </w:rPr>
        <w:t>Liquidity is low</w:t>
      </w:r>
      <w:r w:rsidRPr="00480409">
        <w:rPr>
          <w:rFonts w:ascii="Arial" w:hAnsi="Arial" w:cs="Arial"/>
          <w:sz w:val="24"/>
          <w:szCs w:val="24"/>
        </w:rPr>
        <w:t xml:space="preserve"> compared to international norms. Because of;</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a</w:t>
      </w:r>
      <w:proofErr w:type="gramEnd"/>
      <w:r w:rsidRPr="00480409">
        <w:rPr>
          <w:rFonts w:ascii="Arial" w:hAnsi="Arial" w:cs="Arial"/>
          <w:sz w:val="24"/>
          <w:szCs w:val="24"/>
        </w:rPr>
        <w:t xml:space="preserve"> lack of counters listed on the exchanges</w:t>
      </w:r>
    </w:p>
    <w:p w:rsidR="00480409" w:rsidRPr="00480409" w:rsidRDefault="00480409" w:rsidP="00480409">
      <w:pPr>
        <w:pStyle w:val="ListParagraph"/>
        <w:spacing w:line="360" w:lineRule="auto"/>
        <w:ind w:left="1440"/>
        <w:rPr>
          <w:rFonts w:ascii="Arial" w:hAnsi="Arial" w:cs="Arial"/>
          <w:sz w:val="24"/>
          <w:szCs w:val="24"/>
        </w:rPr>
      </w:pPr>
      <w:proofErr w:type="gramStart"/>
      <w:r w:rsidRPr="00480409">
        <w:rPr>
          <w:rFonts w:ascii="Arial" w:hAnsi="Arial" w:cs="Arial"/>
          <w:sz w:val="24"/>
          <w:szCs w:val="24"/>
        </w:rPr>
        <w:t>which</w:t>
      </w:r>
      <w:proofErr w:type="gramEnd"/>
      <w:r w:rsidRPr="00480409">
        <w:rPr>
          <w:rFonts w:ascii="Arial" w:hAnsi="Arial" w:cs="Arial"/>
          <w:sz w:val="24"/>
          <w:szCs w:val="24"/>
        </w:rPr>
        <w:t xml:space="preserve"> are dominated by the usual brewery, banks and telecoms listings.</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restrictive</w:t>
      </w:r>
      <w:proofErr w:type="gramEnd"/>
      <w:r w:rsidRPr="00480409">
        <w:rPr>
          <w:rFonts w:ascii="Arial" w:hAnsi="Arial" w:cs="Arial"/>
          <w:sz w:val="24"/>
          <w:szCs w:val="24"/>
        </w:rPr>
        <w:t xml:space="preserve"> limits on short-selling</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the</w:t>
      </w:r>
      <w:proofErr w:type="gramEnd"/>
      <w:r w:rsidRPr="00480409">
        <w:rPr>
          <w:rFonts w:ascii="Arial" w:hAnsi="Arial" w:cs="Arial"/>
          <w:sz w:val="24"/>
          <w:szCs w:val="24"/>
        </w:rPr>
        <w:t xml:space="preserve"> absence of retail investors from the markets</w:t>
      </w:r>
    </w:p>
    <w:p w:rsidR="00480409" w:rsidRPr="00480409" w:rsidRDefault="00480409" w:rsidP="00480409">
      <w:pPr>
        <w:pStyle w:val="ListParagraph"/>
        <w:spacing w:line="360" w:lineRule="auto"/>
        <w:ind w:left="1440"/>
        <w:rPr>
          <w:rFonts w:ascii="Arial" w:hAnsi="Arial" w:cs="Arial"/>
          <w:sz w:val="24"/>
          <w:szCs w:val="24"/>
        </w:rPr>
      </w:pPr>
      <w:proofErr w:type="gramStart"/>
      <w:r w:rsidRPr="00480409">
        <w:rPr>
          <w:rFonts w:ascii="Arial" w:hAnsi="Arial" w:cs="Arial"/>
          <w:sz w:val="24"/>
          <w:szCs w:val="24"/>
        </w:rPr>
        <w:t>thin</w:t>
      </w:r>
      <w:proofErr w:type="gramEnd"/>
      <w:r w:rsidRPr="00480409">
        <w:rPr>
          <w:rFonts w:ascii="Arial" w:hAnsi="Arial" w:cs="Arial"/>
          <w:sz w:val="24"/>
          <w:szCs w:val="24"/>
        </w:rPr>
        <w:t xml:space="preserve"> secondary markets, a lack of product supply that would facilitate index rebalancing</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a</w:t>
      </w:r>
      <w:proofErr w:type="gramEnd"/>
      <w:r w:rsidRPr="00480409">
        <w:rPr>
          <w:rFonts w:ascii="Arial" w:hAnsi="Arial" w:cs="Arial"/>
          <w:sz w:val="24"/>
          <w:szCs w:val="24"/>
        </w:rPr>
        <w:t xml:space="preserve"> lack of both product and documentation standardization</w:t>
      </w:r>
    </w:p>
    <w:p w:rsidR="00480409" w:rsidRPr="00480409" w:rsidRDefault="00480409" w:rsidP="00480409">
      <w:pPr>
        <w:pStyle w:val="ListParagraph"/>
        <w:spacing w:line="360" w:lineRule="auto"/>
        <w:ind w:left="1440"/>
        <w:rPr>
          <w:rFonts w:ascii="Arial" w:hAnsi="Arial" w:cs="Arial"/>
          <w:sz w:val="24"/>
          <w:szCs w:val="24"/>
        </w:rPr>
      </w:pPr>
      <w:proofErr w:type="gramStart"/>
      <w:r w:rsidRPr="00480409">
        <w:rPr>
          <w:rFonts w:ascii="Arial" w:hAnsi="Arial" w:cs="Arial"/>
          <w:sz w:val="24"/>
          <w:szCs w:val="24"/>
        </w:rPr>
        <w:t>concerned</w:t>
      </w:r>
      <w:proofErr w:type="gramEnd"/>
      <w:r w:rsidRPr="00480409">
        <w:rPr>
          <w:rFonts w:ascii="Arial" w:hAnsi="Arial" w:cs="Arial"/>
          <w:sz w:val="24"/>
          <w:szCs w:val="24"/>
        </w:rPr>
        <w:t xml:space="preserve"> with market concentration and lack of product standardization</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the</w:t>
      </w:r>
      <w:proofErr w:type="gramEnd"/>
      <w:r w:rsidRPr="00480409">
        <w:rPr>
          <w:rFonts w:ascii="Arial" w:hAnsi="Arial" w:cs="Arial"/>
          <w:sz w:val="24"/>
          <w:szCs w:val="24"/>
        </w:rPr>
        <w:t xml:space="preserve"> large and long term holdings of pension funds</w:t>
      </w:r>
    </w:p>
    <w:p w:rsidR="00480409" w:rsidRPr="00480409" w:rsidRDefault="00480409" w:rsidP="00480409">
      <w:pPr>
        <w:pStyle w:val="ListParagraph"/>
        <w:spacing w:line="360" w:lineRule="auto"/>
        <w:ind w:left="1440"/>
        <w:rPr>
          <w:rFonts w:ascii="Arial" w:hAnsi="Arial" w:cs="Arial"/>
          <w:sz w:val="24"/>
          <w:szCs w:val="24"/>
        </w:rPr>
      </w:pPr>
      <w:r w:rsidRPr="00480409">
        <w:rPr>
          <w:rFonts w:ascii="Arial" w:hAnsi="Arial" w:cs="Arial"/>
          <w:sz w:val="24"/>
          <w:szCs w:val="24"/>
        </w:rPr>
        <w:t>“It is a notable quality of African markets that most investors are relative value investors that hold for a long time. If they exit an investment, there is a lack of product into which they can reinvest.”</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sz w:val="24"/>
          <w:szCs w:val="24"/>
        </w:rPr>
        <w:t>high</w:t>
      </w:r>
      <w:proofErr w:type="gramEnd"/>
      <w:r w:rsidRPr="00480409">
        <w:rPr>
          <w:rFonts w:ascii="Arial" w:hAnsi="Arial" w:cs="Arial"/>
          <w:sz w:val="24"/>
          <w:szCs w:val="24"/>
        </w:rPr>
        <w:t xml:space="preserve"> transaction costs</w:t>
      </w:r>
    </w:p>
    <w:p w:rsidR="00480409" w:rsidRPr="00480409" w:rsidRDefault="00480409" w:rsidP="00480409">
      <w:pPr>
        <w:pStyle w:val="ListParagraph"/>
        <w:spacing w:line="360" w:lineRule="auto"/>
        <w:ind w:left="1440"/>
        <w:rPr>
          <w:rFonts w:ascii="Arial" w:hAnsi="Arial" w:cs="Arial"/>
          <w:sz w:val="24"/>
          <w:szCs w:val="24"/>
        </w:rPr>
      </w:pPr>
      <w:proofErr w:type="gramStart"/>
      <w:r w:rsidRPr="00480409">
        <w:rPr>
          <w:rFonts w:ascii="Arial" w:hAnsi="Arial" w:cs="Arial"/>
          <w:sz w:val="24"/>
          <w:szCs w:val="24"/>
        </w:rPr>
        <w:t>between</w:t>
      </w:r>
      <w:proofErr w:type="gramEnd"/>
      <w:r w:rsidRPr="00480409">
        <w:rPr>
          <w:rFonts w:ascii="Arial" w:hAnsi="Arial" w:cs="Arial"/>
          <w:sz w:val="24"/>
          <w:szCs w:val="24"/>
        </w:rPr>
        <w:t xml:space="preserve"> 2,5 to 5%, and this compels investors to hold for some time in order to make a decent return before exiting. High costs slow down the velocity of trade</w:t>
      </w:r>
    </w:p>
    <w:p w:rsidR="00480409" w:rsidRPr="00480409" w:rsidRDefault="00480409" w:rsidP="00480409">
      <w:pPr>
        <w:pStyle w:val="ListParagraph"/>
        <w:numPr>
          <w:ilvl w:val="0"/>
          <w:numId w:val="5"/>
        </w:numPr>
        <w:spacing w:line="360" w:lineRule="auto"/>
        <w:rPr>
          <w:rFonts w:ascii="Arial" w:hAnsi="Arial" w:cs="Arial"/>
          <w:sz w:val="24"/>
          <w:szCs w:val="24"/>
        </w:rPr>
      </w:pPr>
      <w:r w:rsidRPr="00480409">
        <w:rPr>
          <w:rFonts w:ascii="Arial" w:hAnsi="Arial" w:cs="Arial"/>
          <w:sz w:val="24"/>
          <w:szCs w:val="24"/>
        </w:rPr>
        <w:t>How they can improve liquidity?</w:t>
      </w:r>
    </w:p>
    <w:p w:rsidR="00480409" w:rsidRPr="00480409" w:rsidRDefault="00480409" w:rsidP="00480409">
      <w:pPr>
        <w:pStyle w:val="ListParagraph"/>
        <w:numPr>
          <w:ilvl w:val="1"/>
          <w:numId w:val="5"/>
        </w:numPr>
        <w:spacing w:line="360" w:lineRule="auto"/>
        <w:rPr>
          <w:rFonts w:ascii="Arial" w:hAnsi="Arial" w:cs="Arial"/>
          <w:sz w:val="24"/>
          <w:szCs w:val="24"/>
        </w:rPr>
      </w:pPr>
      <w:proofErr w:type="gramStart"/>
      <w:r w:rsidRPr="00480409">
        <w:rPr>
          <w:rFonts w:ascii="Arial" w:hAnsi="Arial" w:cs="Arial"/>
          <w:b/>
          <w:sz w:val="24"/>
          <w:szCs w:val="24"/>
        </w:rPr>
        <w:t>Short-selling</w:t>
      </w:r>
      <w:proofErr w:type="gramEnd"/>
      <w:r w:rsidRPr="00480409">
        <w:rPr>
          <w:rFonts w:ascii="Arial" w:hAnsi="Arial" w:cs="Arial"/>
          <w:sz w:val="24"/>
          <w:szCs w:val="24"/>
        </w:rPr>
        <w:t xml:space="preserve"> is poorly regarded in some African markets, and is restricted, which in turn limits liquidity. But </w:t>
      </w:r>
      <w:r w:rsidRPr="00480409">
        <w:rPr>
          <w:rFonts w:ascii="Arial" w:hAnsi="Arial" w:cs="Arial"/>
          <w:b/>
          <w:sz w:val="24"/>
          <w:szCs w:val="24"/>
        </w:rPr>
        <w:t>if managed and conducted effectively</w:t>
      </w:r>
      <w:r w:rsidRPr="00480409">
        <w:rPr>
          <w:rFonts w:ascii="Arial" w:hAnsi="Arial" w:cs="Arial"/>
          <w:sz w:val="24"/>
          <w:szCs w:val="24"/>
        </w:rPr>
        <w:t>, it can indeed promote market liquidity.</w:t>
      </w:r>
    </w:p>
    <w:p w:rsidR="00480409" w:rsidRPr="00480409" w:rsidRDefault="00480409" w:rsidP="00480409">
      <w:pPr>
        <w:pStyle w:val="ListParagraph"/>
        <w:numPr>
          <w:ilvl w:val="0"/>
          <w:numId w:val="5"/>
        </w:numPr>
        <w:spacing w:line="360" w:lineRule="auto"/>
        <w:rPr>
          <w:rFonts w:ascii="Arial" w:hAnsi="Arial" w:cs="Arial"/>
          <w:sz w:val="24"/>
          <w:szCs w:val="24"/>
        </w:rPr>
      </w:pPr>
      <w:r w:rsidRPr="00480409">
        <w:rPr>
          <w:rFonts w:ascii="Arial" w:hAnsi="Arial" w:cs="Arial"/>
          <w:b/>
          <w:sz w:val="24"/>
          <w:szCs w:val="24"/>
        </w:rPr>
        <w:t>Africa needs to deepen its markets</w:t>
      </w:r>
      <w:r w:rsidRPr="00480409">
        <w:rPr>
          <w:rFonts w:ascii="Arial" w:hAnsi="Arial" w:cs="Arial"/>
          <w:sz w:val="24"/>
          <w:szCs w:val="24"/>
        </w:rPr>
        <w:t>, as there is definitely enough money around looking for an investment destination. The long term shareholders will then be able to follow true investment principles and implement a sound investment strategy</w:t>
      </w:r>
    </w:p>
    <w:p w:rsidR="00480409" w:rsidRPr="00480409" w:rsidRDefault="00480409" w:rsidP="00480409">
      <w:pPr>
        <w:spacing w:line="360" w:lineRule="auto"/>
        <w:ind w:left="360"/>
        <w:rPr>
          <w:rFonts w:ascii="Arial" w:hAnsi="Arial" w:cs="Arial"/>
          <w:sz w:val="24"/>
          <w:szCs w:val="24"/>
        </w:rPr>
      </w:pPr>
    </w:p>
    <w:p w:rsidR="00480409" w:rsidRPr="00480409" w:rsidRDefault="00480409" w:rsidP="00480409">
      <w:pPr>
        <w:spacing w:line="360" w:lineRule="auto"/>
        <w:ind w:left="360"/>
        <w:rPr>
          <w:rFonts w:ascii="Arial" w:hAnsi="Arial" w:cs="Arial"/>
          <w:sz w:val="24"/>
          <w:szCs w:val="24"/>
        </w:rPr>
      </w:pPr>
      <w:r w:rsidRPr="00480409">
        <w:rPr>
          <w:rFonts w:ascii="Arial" w:hAnsi="Arial" w:cs="Arial"/>
          <w:sz w:val="24"/>
          <w:szCs w:val="24"/>
        </w:rPr>
        <w:t>SOUTH AFRICA CORPORATE GOVERNANCE SCANDAL</w:t>
      </w:r>
    </w:p>
    <w:p w:rsidR="00480409" w:rsidRPr="00480409" w:rsidRDefault="00480409" w:rsidP="00480409">
      <w:pPr>
        <w:pStyle w:val="ListParagraph"/>
        <w:numPr>
          <w:ilvl w:val="0"/>
          <w:numId w:val="5"/>
        </w:numPr>
        <w:spacing w:line="360" w:lineRule="auto"/>
        <w:rPr>
          <w:rFonts w:ascii="Arial" w:hAnsi="Arial" w:cs="Arial"/>
          <w:sz w:val="24"/>
          <w:szCs w:val="24"/>
        </w:rPr>
      </w:pPr>
      <w:r w:rsidRPr="00480409">
        <w:rPr>
          <w:rFonts w:ascii="Arial" w:hAnsi="Arial" w:cs="Arial"/>
          <w:sz w:val="24"/>
          <w:szCs w:val="24"/>
        </w:rPr>
        <w:t xml:space="preserve">There </w:t>
      </w:r>
      <w:proofErr w:type="gramStart"/>
      <w:r w:rsidRPr="00480409">
        <w:rPr>
          <w:rFonts w:ascii="Arial" w:hAnsi="Arial" w:cs="Arial"/>
          <w:sz w:val="24"/>
          <w:szCs w:val="24"/>
        </w:rPr>
        <w:t>has</w:t>
      </w:r>
      <w:proofErr w:type="gramEnd"/>
      <w:r w:rsidRPr="00480409">
        <w:rPr>
          <w:rFonts w:ascii="Arial" w:hAnsi="Arial" w:cs="Arial"/>
          <w:sz w:val="24"/>
          <w:szCs w:val="24"/>
        </w:rPr>
        <w:t xml:space="preserve"> been a number of significant corporate failures in South Africa that are attributable to misrepresentations and fraud perpetrated by directors. </w:t>
      </w:r>
      <w:r w:rsidRPr="00480409">
        <w:rPr>
          <w:rFonts w:ascii="Arial" w:hAnsi="Arial" w:cs="Arial"/>
          <w:b/>
          <w:sz w:val="24"/>
          <w:szCs w:val="24"/>
        </w:rPr>
        <w:t xml:space="preserve">Once such scheme is the saga of the </w:t>
      </w:r>
      <w:proofErr w:type="spellStart"/>
      <w:r w:rsidRPr="00480409">
        <w:rPr>
          <w:rFonts w:ascii="Arial" w:hAnsi="Arial" w:cs="Arial"/>
          <w:b/>
          <w:sz w:val="24"/>
          <w:szCs w:val="24"/>
        </w:rPr>
        <w:t>Masterbond</w:t>
      </w:r>
      <w:proofErr w:type="spellEnd"/>
      <w:r w:rsidRPr="00480409">
        <w:rPr>
          <w:rFonts w:ascii="Arial" w:hAnsi="Arial" w:cs="Arial"/>
          <w:b/>
          <w:sz w:val="24"/>
          <w:szCs w:val="24"/>
        </w:rPr>
        <w:t xml:space="preserve"> Group</w:t>
      </w:r>
      <w:r w:rsidRPr="00480409">
        <w:rPr>
          <w:rFonts w:ascii="Arial" w:hAnsi="Arial" w:cs="Arial"/>
          <w:sz w:val="24"/>
          <w:szCs w:val="24"/>
        </w:rPr>
        <w:t xml:space="preserve"> of Companies (occurred in the mid-1990s</w:t>
      </w:r>
      <w:proofErr w:type="gramStart"/>
      <w:r w:rsidRPr="00480409">
        <w:rPr>
          <w:rFonts w:ascii="Arial" w:hAnsi="Arial" w:cs="Arial"/>
          <w:sz w:val="24"/>
          <w:szCs w:val="24"/>
        </w:rPr>
        <w:t>) which</w:t>
      </w:r>
      <w:proofErr w:type="gramEnd"/>
      <w:r w:rsidRPr="00480409">
        <w:rPr>
          <w:rFonts w:ascii="Arial" w:hAnsi="Arial" w:cs="Arial"/>
          <w:sz w:val="24"/>
          <w:szCs w:val="24"/>
        </w:rPr>
        <w:t xml:space="preserve"> over a number of years had attracted approximately a billion rand by promising secured and thus seemingly safe investment. </w:t>
      </w:r>
    </w:p>
    <w:p w:rsidR="00480409" w:rsidRPr="00480409" w:rsidRDefault="00480409" w:rsidP="00480409">
      <w:pPr>
        <w:pStyle w:val="ListParagraph"/>
        <w:spacing w:line="360" w:lineRule="auto"/>
        <w:rPr>
          <w:rFonts w:ascii="Arial" w:hAnsi="Arial" w:cs="Arial"/>
          <w:sz w:val="24"/>
          <w:szCs w:val="24"/>
        </w:rPr>
      </w:pPr>
      <w:r w:rsidRPr="00480409">
        <w:rPr>
          <w:rFonts w:ascii="Arial" w:hAnsi="Arial" w:cs="Arial"/>
          <w:sz w:val="24"/>
          <w:szCs w:val="24"/>
        </w:rPr>
        <w:t xml:space="preserve">More than 90% of the </w:t>
      </w:r>
      <w:r w:rsidRPr="00480409">
        <w:rPr>
          <w:rFonts w:ascii="Arial" w:hAnsi="Arial" w:cs="Arial"/>
          <w:b/>
          <w:sz w:val="24"/>
          <w:szCs w:val="24"/>
        </w:rPr>
        <w:t>money borrowed on short-term</w:t>
      </w:r>
      <w:r w:rsidRPr="00480409">
        <w:rPr>
          <w:rFonts w:ascii="Arial" w:hAnsi="Arial" w:cs="Arial"/>
          <w:sz w:val="24"/>
          <w:szCs w:val="24"/>
        </w:rPr>
        <w:t xml:space="preserve"> was used within the group and associated companies for highly speculative long-term projects, which generated little or no return. It soon degenerated into little more than </w:t>
      </w:r>
      <w:r w:rsidRPr="00480409">
        <w:rPr>
          <w:rFonts w:ascii="Arial" w:hAnsi="Arial" w:cs="Arial"/>
          <w:b/>
          <w:sz w:val="24"/>
          <w:szCs w:val="24"/>
        </w:rPr>
        <w:t>a ‘</w:t>
      </w:r>
      <w:proofErr w:type="spellStart"/>
      <w:r w:rsidRPr="00480409">
        <w:rPr>
          <w:rFonts w:ascii="Arial" w:hAnsi="Arial" w:cs="Arial"/>
          <w:b/>
          <w:sz w:val="24"/>
          <w:szCs w:val="24"/>
        </w:rPr>
        <w:t>Ponzi</w:t>
      </w:r>
      <w:proofErr w:type="spellEnd"/>
      <w:r w:rsidRPr="00480409">
        <w:rPr>
          <w:rFonts w:ascii="Arial" w:hAnsi="Arial" w:cs="Arial"/>
          <w:b/>
          <w:sz w:val="24"/>
          <w:szCs w:val="24"/>
        </w:rPr>
        <w:t>’ scheme (fraudulent investment operation where the operator, an individual or organization, pays return to its investors from new capital paid to the operators by new investors, rather than from profit earned through legitimate sources)</w:t>
      </w:r>
      <w:r w:rsidRPr="00480409">
        <w:rPr>
          <w:rFonts w:ascii="Arial" w:hAnsi="Arial" w:cs="Arial"/>
          <w:sz w:val="24"/>
          <w:szCs w:val="24"/>
        </w:rPr>
        <w:t xml:space="preserve">.  The Group collapsed and thousands of investors were left destitute, many of them pensioners who specifically had been targeted and tempted with twin carrots of security and higher than normal interest rates. </w:t>
      </w:r>
    </w:p>
    <w:p w:rsidR="00480409" w:rsidRPr="00480409" w:rsidRDefault="00480409" w:rsidP="00480409">
      <w:pPr>
        <w:pStyle w:val="ListParagraph"/>
        <w:spacing w:line="360" w:lineRule="auto"/>
        <w:rPr>
          <w:rFonts w:ascii="Arial" w:hAnsi="Arial" w:cs="Arial"/>
          <w:sz w:val="24"/>
          <w:szCs w:val="24"/>
        </w:rPr>
      </w:pPr>
      <w:r w:rsidRPr="00480409">
        <w:rPr>
          <w:rFonts w:ascii="Arial" w:hAnsi="Arial" w:cs="Arial"/>
          <w:sz w:val="24"/>
          <w:szCs w:val="24"/>
        </w:rPr>
        <w:t xml:space="preserve">The </w:t>
      </w:r>
      <w:proofErr w:type="spellStart"/>
      <w:r w:rsidRPr="00480409">
        <w:rPr>
          <w:rFonts w:ascii="Arial" w:hAnsi="Arial" w:cs="Arial"/>
          <w:sz w:val="24"/>
          <w:szCs w:val="24"/>
        </w:rPr>
        <w:t>Nel</w:t>
      </w:r>
      <w:proofErr w:type="spellEnd"/>
      <w:r w:rsidRPr="00480409">
        <w:rPr>
          <w:rFonts w:ascii="Arial" w:hAnsi="Arial" w:cs="Arial"/>
          <w:sz w:val="24"/>
          <w:szCs w:val="24"/>
        </w:rPr>
        <w:t xml:space="preserve"> Commission (Investor Protection in SA) investigating </w:t>
      </w:r>
      <w:proofErr w:type="spellStart"/>
      <w:r w:rsidRPr="00480409">
        <w:rPr>
          <w:rFonts w:ascii="Arial" w:hAnsi="Arial" w:cs="Arial"/>
          <w:sz w:val="24"/>
          <w:szCs w:val="24"/>
        </w:rPr>
        <w:t>Masterbond</w:t>
      </w:r>
      <w:proofErr w:type="spellEnd"/>
      <w:r w:rsidRPr="00480409">
        <w:rPr>
          <w:rFonts w:ascii="Arial" w:hAnsi="Arial" w:cs="Arial"/>
          <w:sz w:val="24"/>
          <w:szCs w:val="24"/>
        </w:rPr>
        <w:t xml:space="preserve"> Group found that accounting policies had been altered to </w:t>
      </w:r>
      <w:r w:rsidRPr="00480409">
        <w:rPr>
          <w:rFonts w:ascii="Arial" w:hAnsi="Arial" w:cs="Arial"/>
          <w:b/>
          <w:sz w:val="24"/>
          <w:szCs w:val="24"/>
        </w:rPr>
        <w:t>change losses to profits</w:t>
      </w:r>
      <w:r w:rsidRPr="00480409">
        <w:rPr>
          <w:rFonts w:ascii="Arial" w:hAnsi="Arial" w:cs="Arial"/>
          <w:sz w:val="24"/>
          <w:szCs w:val="24"/>
        </w:rPr>
        <w:t xml:space="preserve"> without disclosure of the changes</w:t>
      </w:r>
      <w:proofErr w:type="gramStart"/>
      <w:r w:rsidRPr="00480409">
        <w:rPr>
          <w:rFonts w:ascii="Arial" w:hAnsi="Arial" w:cs="Arial"/>
          <w:sz w:val="24"/>
          <w:szCs w:val="24"/>
        </w:rPr>
        <w:t>;</w:t>
      </w:r>
      <w:proofErr w:type="gramEnd"/>
      <w:r w:rsidRPr="00480409">
        <w:rPr>
          <w:rFonts w:ascii="Arial" w:hAnsi="Arial" w:cs="Arial"/>
          <w:sz w:val="24"/>
          <w:szCs w:val="24"/>
        </w:rPr>
        <w:t xml:space="preserve"> that there was </w:t>
      </w:r>
      <w:r w:rsidRPr="00480409">
        <w:rPr>
          <w:rFonts w:ascii="Arial" w:hAnsi="Arial" w:cs="Arial"/>
          <w:b/>
          <w:sz w:val="24"/>
          <w:szCs w:val="24"/>
        </w:rPr>
        <w:t>falsifying of financial statements</w:t>
      </w:r>
      <w:r w:rsidRPr="00480409">
        <w:rPr>
          <w:rFonts w:ascii="Arial" w:hAnsi="Arial" w:cs="Arial"/>
          <w:sz w:val="24"/>
          <w:szCs w:val="24"/>
        </w:rPr>
        <w:t xml:space="preserve">, </w:t>
      </w:r>
      <w:r w:rsidRPr="00480409">
        <w:rPr>
          <w:rFonts w:ascii="Arial" w:hAnsi="Arial" w:cs="Arial"/>
          <w:b/>
          <w:sz w:val="24"/>
          <w:szCs w:val="24"/>
        </w:rPr>
        <w:t>backdating of auditor reports</w:t>
      </w:r>
      <w:r w:rsidRPr="00480409">
        <w:rPr>
          <w:rFonts w:ascii="Arial" w:hAnsi="Arial" w:cs="Arial"/>
          <w:sz w:val="24"/>
          <w:szCs w:val="24"/>
        </w:rPr>
        <w:t xml:space="preserve"> and other malpractice. At that time, its occurrence was in part attributed that South Africa </w:t>
      </w:r>
      <w:r w:rsidRPr="00480409">
        <w:rPr>
          <w:rFonts w:ascii="Arial" w:hAnsi="Arial" w:cs="Arial"/>
          <w:b/>
          <w:sz w:val="24"/>
          <w:szCs w:val="24"/>
        </w:rPr>
        <w:t xml:space="preserve">did not have as strong a government </w:t>
      </w:r>
      <w:r w:rsidRPr="00480409">
        <w:rPr>
          <w:rFonts w:ascii="Arial" w:hAnsi="Arial" w:cs="Arial"/>
          <w:sz w:val="24"/>
          <w:szCs w:val="24"/>
        </w:rPr>
        <w:t xml:space="preserve">climate as the United States. The Commission revealed serious deficiencies in the South African supervisory system and those sections of the </w:t>
      </w:r>
      <w:r w:rsidRPr="00480409">
        <w:rPr>
          <w:rFonts w:ascii="Arial" w:hAnsi="Arial" w:cs="Arial"/>
          <w:i/>
          <w:sz w:val="24"/>
          <w:szCs w:val="24"/>
        </w:rPr>
        <w:t xml:space="preserve">Companies Act </w:t>
      </w:r>
      <w:r w:rsidRPr="00480409">
        <w:rPr>
          <w:rFonts w:ascii="Arial" w:hAnsi="Arial" w:cs="Arial"/>
          <w:sz w:val="24"/>
          <w:szCs w:val="24"/>
        </w:rPr>
        <w:t xml:space="preserve">that were designed to protect investors, </w:t>
      </w:r>
      <w:r w:rsidRPr="00480409">
        <w:rPr>
          <w:rFonts w:ascii="Arial" w:hAnsi="Arial" w:cs="Arial"/>
          <w:b/>
          <w:sz w:val="24"/>
          <w:szCs w:val="24"/>
        </w:rPr>
        <w:t>granted the investors were more illusory than real</w:t>
      </w:r>
      <w:r w:rsidRPr="00480409">
        <w:rPr>
          <w:rFonts w:ascii="Arial" w:hAnsi="Arial" w:cs="Arial"/>
          <w:sz w:val="24"/>
          <w:szCs w:val="24"/>
        </w:rPr>
        <w:t xml:space="preserve">. </w:t>
      </w:r>
    </w:p>
    <w:p w:rsidR="00480409" w:rsidRPr="00480409" w:rsidRDefault="00480409" w:rsidP="00480409">
      <w:pPr>
        <w:pStyle w:val="ListParagraph"/>
        <w:spacing w:line="360" w:lineRule="auto"/>
        <w:rPr>
          <w:rFonts w:ascii="Arial" w:hAnsi="Arial" w:cs="Arial"/>
          <w:sz w:val="24"/>
          <w:szCs w:val="24"/>
        </w:rPr>
      </w:pPr>
      <w:r w:rsidRPr="00480409">
        <w:rPr>
          <w:rFonts w:ascii="Arial" w:hAnsi="Arial" w:cs="Arial"/>
          <w:sz w:val="24"/>
          <w:szCs w:val="24"/>
        </w:rPr>
        <w:t xml:space="preserve">South Africa introduced </w:t>
      </w:r>
      <w:r w:rsidRPr="00480409">
        <w:rPr>
          <w:rFonts w:ascii="Arial" w:hAnsi="Arial" w:cs="Arial"/>
          <w:b/>
          <w:sz w:val="24"/>
          <w:szCs w:val="24"/>
        </w:rPr>
        <w:t>draft on the accountancy profession</w:t>
      </w:r>
      <w:r w:rsidRPr="00480409">
        <w:rPr>
          <w:rFonts w:ascii="Arial" w:hAnsi="Arial" w:cs="Arial"/>
          <w:sz w:val="24"/>
          <w:szCs w:val="24"/>
        </w:rPr>
        <w:t xml:space="preserve">, to enhance standards of auditing and accounting and an independent standard-setting board for ethics. However, the </w:t>
      </w:r>
      <w:proofErr w:type="spellStart"/>
      <w:r w:rsidRPr="00480409">
        <w:rPr>
          <w:rFonts w:ascii="Arial" w:hAnsi="Arial" w:cs="Arial"/>
          <w:sz w:val="24"/>
          <w:szCs w:val="24"/>
        </w:rPr>
        <w:t>Nel</w:t>
      </w:r>
      <w:proofErr w:type="spellEnd"/>
      <w:r w:rsidRPr="00480409">
        <w:rPr>
          <w:rFonts w:ascii="Arial" w:hAnsi="Arial" w:cs="Arial"/>
          <w:sz w:val="24"/>
          <w:szCs w:val="24"/>
        </w:rPr>
        <w:t xml:space="preserve"> Commission reported the </w:t>
      </w:r>
      <w:r w:rsidRPr="00480409">
        <w:rPr>
          <w:rFonts w:ascii="Arial" w:hAnsi="Arial" w:cs="Arial"/>
          <w:b/>
          <w:sz w:val="24"/>
          <w:szCs w:val="24"/>
        </w:rPr>
        <w:t>draft legislation had failed with the need for independent regulation</w:t>
      </w:r>
      <w:r w:rsidRPr="00480409">
        <w:rPr>
          <w:rFonts w:ascii="Arial" w:hAnsi="Arial" w:cs="Arial"/>
          <w:sz w:val="24"/>
          <w:szCs w:val="24"/>
        </w:rPr>
        <w:t xml:space="preserve">. </w:t>
      </w:r>
      <w:r w:rsidRPr="00480409">
        <w:rPr>
          <w:rFonts w:ascii="Arial" w:hAnsi="Arial" w:cs="Arial"/>
          <w:b/>
          <w:sz w:val="24"/>
          <w:szCs w:val="24"/>
        </w:rPr>
        <w:t>The Commission recommended</w:t>
      </w:r>
      <w:r w:rsidRPr="00480409">
        <w:rPr>
          <w:rFonts w:ascii="Arial" w:hAnsi="Arial" w:cs="Arial"/>
          <w:sz w:val="24"/>
          <w:szCs w:val="24"/>
        </w:rPr>
        <w:t xml:space="preserve"> that significant interest groups should be allowed to appoint an auditor, including debenture holders, employees and their trade unions. It would help the </w:t>
      </w:r>
      <w:proofErr w:type="spellStart"/>
      <w:r w:rsidRPr="00480409">
        <w:rPr>
          <w:rFonts w:ascii="Arial" w:hAnsi="Arial" w:cs="Arial"/>
          <w:sz w:val="24"/>
          <w:szCs w:val="24"/>
        </w:rPr>
        <w:t>Masterbond</w:t>
      </w:r>
      <w:proofErr w:type="spellEnd"/>
      <w:r w:rsidRPr="00480409">
        <w:rPr>
          <w:rFonts w:ascii="Arial" w:hAnsi="Arial" w:cs="Arial"/>
          <w:sz w:val="24"/>
          <w:szCs w:val="24"/>
        </w:rPr>
        <w:t xml:space="preserve"> case if they had auditor acting on their behalf. A </w:t>
      </w:r>
      <w:proofErr w:type="spellStart"/>
      <w:r w:rsidRPr="00480409">
        <w:rPr>
          <w:rFonts w:ascii="Arial" w:hAnsi="Arial" w:cs="Arial"/>
          <w:sz w:val="24"/>
          <w:szCs w:val="24"/>
        </w:rPr>
        <w:t>Ministeral</w:t>
      </w:r>
      <w:proofErr w:type="spellEnd"/>
      <w:r w:rsidRPr="00480409">
        <w:rPr>
          <w:rFonts w:ascii="Arial" w:hAnsi="Arial" w:cs="Arial"/>
          <w:sz w:val="24"/>
          <w:szCs w:val="24"/>
        </w:rPr>
        <w:t xml:space="preserve"> Panel on Review of the Draft Legislation </w:t>
      </w:r>
      <w:r w:rsidRPr="00480409">
        <w:rPr>
          <w:rFonts w:ascii="Arial" w:hAnsi="Arial" w:cs="Arial"/>
          <w:b/>
          <w:sz w:val="24"/>
          <w:szCs w:val="24"/>
        </w:rPr>
        <w:t>also recommended</w:t>
      </w:r>
      <w:r w:rsidRPr="00480409">
        <w:rPr>
          <w:rFonts w:ascii="Arial" w:hAnsi="Arial" w:cs="Arial"/>
          <w:sz w:val="24"/>
          <w:szCs w:val="24"/>
        </w:rPr>
        <w:t xml:space="preserve"> that the requirement of the audit committee should be restricted to independent non-executive directors.</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Investor behaviour and motivation in SA (from the Reserve bank reports and financialmail.co.za)</w:t>
      </w:r>
    </w:p>
    <w:p w:rsidR="00480409" w:rsidRPr="00480409" w:rsidRDefault="00480409" w:rsidP="00480409">
      <w:pPr>
        <w:spacing w:after="0" w:line="360" w:lineRule="auto"/>
        <w:rPr>
          <w:rFonts w:ascii="Arial" w:eastAsia="Times New Roman" w:hAnsi="Arial" w:cs="Arial"/>
          <w:sz w:val="24"/>
          <w:szCs w:val="24"/>
          <w:lang w:val="en-US" w:eastAsia="en-US"/>
        </w:rPr>
      </w:pPr>
      <w:r w:rsidRPr="00480409">
        <w:rPr>
          <w:rFonts w:ascii="Arial" w:eastAsia="Times New Roman" w:hAnsi="Arial" w:cs="Arial"/>
          <w:color w:val="404040"/>
          <w:sz w:val="24"/>
          <w:szCs w:val="24"/>
          <w:shd w:val="clear" w:color="auto" w:fill="EFEFEF"/>
          <w:lang w:val="en-US" w:eastAsia="en-US"/>
        </w:rPr>
        <w:t>In December, the Reserve Bank reported that for the Quarter to September 2015, the Net Investment Position had turned positive for the first time since 1956.</w:t>
      </w:r>
      <w:r w:rsidRPr="00480409">
        <w:rPr>
          <w:rFonts w:ascii="Arial" w:eastAsia="Times New Roman" w:hAnsi="Arial" w:cs="Arial"/>
          <w:color w:val="404040"/>
          <w:sz w:val="24"/>
          <w:szCs w:val="24"/>
          <w:lang w:val="en-US" w:eastAsia="en-US"/>
        </w:rPr>
        <w:t xml:space="preserve"> </w:t>
      </w:r>
      <w:r w:rsidRPr="00480409">
        <w:rPr>
          <w:rFonts w:ascii="Arial" w:eastAsia="Times New Roman" w:hAnsi="Arial" w:cs="Arial"/>
          <w:color w:val="404040"/>
          <w:sz w:val="24"/>
          <w:szCs w:val="24"/>
          <w:shd w:val="clear" w:color="auto" w:fill="EFEFEF"/>
          <w:lang w:val="en-US" w:eastAsia="en-US"/>
        </w:rPr>
        <w:t>This meant that for the first time, South Africans owned more assets offshore than foreigners owned in South Africa. </w:t>
      </w:r>
      <w:r w:rsidRPr="00480409">
        <w:rPr>
          <w:rFonts w:ascii="Arial" w:eastAsia="Times New Roman" w:hAnsi="Arial" w:cs="Arial"/>
          <w:color w:val="404040"/>
          <w:sz w:val="24"/>
          <w:szCs w:val="24"/>
          <w:lang w:val="en-US" w:eastAsia="en-US"/>
        </w:rPr>
        <w:br/>
      </w:r>
      <w:r w:rsidRPr="00480409">
        <w:rPr>
          <w:rFonts w:ascii="Arial" w:eastAsia="Times New Roman" w:hAnsi="Arial" w:cs="Arial"/>
          <w:color w:val="404040"/>
          <w:sz w:val="24"/>
          <w:szCs w:val="24"/>
          <w:shd w:val="clear" w:color="auto" w:fill="EFEFEF"/>
          <w:lang w:val="en-US" w:eastAsia="en-US"/>
        </w:rPr>
        <w:t>Included in this data was that:</w:t>
      </w:r>
    </w:p>
    <w:p w:rsidR="00480409" w:rsidRPr="00480409" w:rsidRDefault="00480409" w:rsidP="00480409">
      <w:pPr>
        <w:numPr>
          <w:ilvl w:val="0"/>
          <w:numId w:val="7"/>
        </w:numPr>
        <w:shd w:val="clear" w:color="auto" w:fill="EFEFEF"/>
        <w:spacing w:after="120" w:line="360" w:lineRule="auto"/>
        <w:ind w:left="450"/>
        <w:rPr>
          <w:rFonts w:ascii="Arial" w:eastAsia="Times New Roman" w:hAnsi="Arial" w:cs="Arial"/>
          <w:color w:val="404040"/>
          <w:sz w:val="24"/>
          <w:szCs w:val="24"/>
          <w:lang w:val="en-US" w:eastAsia="en-US"/>
        </w:rPr>
      </w:pPr>
      <w:r w:rsidRPr="00480409">
        <w:rPr>
          <w:rFonts w:ascii="Arial" w:eastAsia="Times New Roman" w:hAnsi="Arial" w:cs="Arial"/>
          <w:color w:val="404040"/>
          <w:sz w:val="24"/>
          <w:szCs w:val="24"/>
          <w:lang w:val="en-US" w:eastAsia="en-US"/>
        </w:rPr>
        <w:t>For the first time since 2008, foreign investment had decreased versus the previous quarter.</w:t>
      </w:r>
    </w:p>
    <w:p w:rsidR="00480409" w:rsidRPr="00480409" w:rsidRDefault="00480409" w:rsidP="00480409">
      <w:pPr>
        <w:numPr>
          <w:ilvl w:val="0"/>
          <w:numId w:val="7"/>
        </w:numPr>
        <w:shd w:val="clear" w:color="auto" w:fill="EFEFEF"/>
        <w:spacing w:after="120" w:line="360" w:lineRule="auto"/>
        <w:ind w:left="450"/>
        <w:rPr>
          <w:rFonts w:ascii="Arial" w:eastAsia="Times New Roman" w:hAnsi="Arial" w:cs="Arial"/>
          <w:color w:val="404040"/>
          <w:sz w:val="24"/>
          <w:szCs w:val="24"/>
          <w:lang w:val="en-US" w:eastAsia="en-US"/>
        </w:rPr>
      </w:pPr>
      <w:r w:rsidRPr="00480409">
        <w:rPr>
          <w:rFonts w:ascii="Arial" w:eastAsia="Times New Roman" w:hAnsi="Arial" w:cs="Arial"/>
          <w:color w:val="404040"/>
          <w:sz w:val="24"/>
          <w:szCs w:val="24"/>
          <w:lang w:val="en-US" w:eastAsia="en-US"/>
        </w:rPr>
        <w:t>Investment offshore by residents had increased sharply by 4.6% during this same period.</w:t>
      </w:r>
    </w:p>
    <w:p w:rsidR="00480409" w:rsidRPr="00480409" w:rsidRDefault="00480409" w:rsidP="00480409">
      <w:pPr>
        <w:spacing w:line="360" w:lineRule="auto"/>
        <w:rPr>
          <w:rFonts w:ascii="Arial" w:eastAsiaTheme="minorHAnsi" w:hAnsi="Arial" w:cs="Arial"/>
          <w:sz w:val="24"/>
          <w:szCs w:val="24"/>
          <w:lang w:eastAsia="en-US"/>
        </w:rPr>
      </w:pPr>
      <w:r w:rsidRPr="00480409">
        <w:rPr>
          <w:rFonts w:ascii="Arial" w:eastAsiaTheme="minorHAnsi" w:hAnsi="Arial" w:cs="Arial"/>
          <w:sz w:val="24"/>
          <w:szCs w:val="24"/>
          <w:lang w:eastAsia="en-US"/>
        </w:rPr>
        <w:t>The reasons:</w:t>
      </w:r>
    </w:p>
    <w:p w:rsidR="00480409" w:rsidRPr="00480409" w:rsidRDefault="00480409" w:rsidP="00480409">
      <w:pPr>
        <w:pStyle w:val="NormalWeb"/>
        <w:shd w:val="clear" w:color="auto" w:fill="FFFFFF"/>
        <w:spacing w:before="0" w:beforeAutospacing="0" w:after="225" w:afterAutospacing="0" w:line="360" w:lineRule="auto"/>
        <w:rPr>
          <w:rFonts w:ascii="Arial" w:hAnsi="Arial" w:cs="Arial"/>
          <w:color w:val="000000"/>
        </w:rPr>
      </w:pPr>
      <w:r w:rsidRPr="00480409">
        <w:rPr>
          <w:rFonts w:ascii="Arial" w:hAnsi="Arial" w:cs="Arial"/>
          <w:color w:val="000000"/>
        </w:rPr>
        <w:t>One important reason is the sheer range of opportunities available externally. There are about 400 companies listed on the JSE, many of them world-class leaders in their industries. But this compares with the 44,000 counters listed on the world’s exchanges, covering industries not readily available on the JSE, such as technology.</w:t>
      </w:r>
    </w:p>
    <w:p w:rsidR="00480409" w:rsidRPr="00480409" w:rsidRDefault="00480409" w:rsidP="00480409">
      <w:pPr>
        <w:pStyle w:val="NormalWeb"/>
        <w:shd w:val="clear" w:color="auto" w:fill="FFFFFF"/>
        <w:spacing w:before="0" w:beforeAutospacing="0" w:after="225" w:afterAutospacing="0" w:line="360" w:lineRule="auto"/>
        <w:rPr>
          <w:rStyle w:val="apple-converted-space"/>
          <w:rFonts w:ascii="Arial" w:hAnsi="Arial" w:cs="Arial"/>
          <w:color w:val="000000"/>
          <w:shd w:val="clear" w:color="auto" w:fill="FFFFFF"/>
        </w:rPr>
      </w:pPr>
      <w:r w:rsidRPr="00480409">
        <w:rPr>
          <w:rFonts w:ascii="Arial" w:hAnsi="Arial" w:cs="Arial"/>
          <w:color w:val="000000"/>
        </w:rPr>
        <w:t xml:space="preserve">Another reason is the concept of diversification, often regarded as the first rule in investing. </w:t>
      </w:r>
      <w:r w:rsidRPr="00480409">
        <w:rPr>
          <w:rFonts w:ascii="Arial" w:hAnsi="Arial" w:cs="Arial"/>
          <w:color w:val="000000"/>
          <w:shd w:val="clear" w:color="auto" w:fill="FFFFFF"/>
        </w:rPr>
        <w:t>For South African investors the motivation for global diversification should be to have access to asset classes that either show lower correlation to the local market or offer growth opportunities not available in their market.</w:t>
      </w:r>
      <w:r w:rsidRPr="00480409">
        <w:rPr>
          <w:rStyle w:val="apple-converted-space"/>
          <w:rFonts w:ascii="Arial" w:hAnsi="Arial" w:cs="Arial"/>
          <w:color w:val="000000"/>
          <w:shd w:val="clear" w:color="auto" w:fill="FFFFFF"/>
        </w:rPr>
        <w:t> </w:t>
      </w:r>
    </w:p>
    <w:p w:rsidR="00480409" w:rsidRPr="00480409" w:rsidRDefault="00480409" w:rsidP="00480409">
      <w:pPr>
        <w:pStyle w:val="NormalWeb"/>
        <w:shd w:val="clear" w:color="auto" w:fill="FFFFFF"/>
        <w:spacing w:before="0" w:beforeAutospacing="0" w:after="225" w:afterAutospacing="0" w:line="360" w:lineRule="auto"/>
        <w:rPr>
          <w:rStyle w:val="apple-converted-space"/>
          <w:rFonts w:ascii="Arial" w:hAnsi="Arial" w:cs="Arial"/>
          <w:color w:val="000000"/>
          <w:shd w:val="clear" w:color="auto" w:fill="FFFFFF"/>
        </w:rPr>
      </w:pPr>
    </w:p>
    <w:p w:rsidR="00480409" w:rsidRPr="00480409" w:rsidRDefault="00480409" w:rsidP="00480409">
      <w:pPr>
        <w:pStyle w:val="NormalWeb"/>
        <w:shd w:val="clear" w:color="auto" w:fill="FFFFFF"/>
        <w:spacing w:before="0" w:beforeAutospacing="0" w:after="225" w:afterAutospacing="0" w:line="360" w:lineRule="auto"/>
        <w:rPr>
          <w:rStyle w:val="apple-converted-space"/>
          <w:rFonts w:ascii="Arial" w:hAnsi="Arial" w:cs="Arial"/>
          <w:color w:val="000000"/>
          <w:shd w:val="clear" w:color="auto" w:fill="FFFFFF"/>
        </w:rPr>
      </w:pPr>
      <w:r w:rsidRPr="00480409">
        <w:rPr>
          <w:rStyle w:val="apple-converted-space"/>
          <w:rFonts w:ascii="Arial" w:hAnsi="Arial" w:cs="Arial"/>
          <w:color w:val="000000"/>
          <w:shd w:val="clear" w:color="auto" w:fill="FFFFFF"/>
        </w:rPr>
        <w:t>Apartheid – inequality in doing business in SA</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Broad-Based Black Economic Empowerment (B-BBEE) is the South African Government's set of policies intended to bring about the involvement or participation of previously disadvantaged communities (PDCs) into the mainstream economy. The definition of PDCs is people of </w:t>
      </w:r>
      <w:proofErr w:type="spellStart"/>
      <w:r w:rsidRPr="00480409">
        <w:rPr>
          <w:rFonts w:ascii="Arial" w:hAnsi="Arial" w:cs="Arial"/>
          <w:sz w:val="24"/>
          <w:szCs w:val="24"/>
          <w:lang w:val="en-US"/>
        </w:rPr>
        <w:t>colour</w:t>
      </w:r>
      <w:proofErr w:type="spellEnd"/>
      <w:r w:rsidRPr="00480409">
        <w:rPr>
          <w:rFonts w:ascii="Arial" w:hAnsi="Arial" w:cs="Arial"/>
          <w:sz w:val="24"/>
          <w:szCs w:val="24"/>
          <w:lang w:val="en-US"/>
        </w:rPr>
        <w:t>, women of all races, and the disabled.</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B-BBEE is all about good corporate governance. It does not apply to those who are just exporting goods to South Africa or manufacturing goods for export from South Africa.</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However, if you intend to set up any kind of business or acquire a running business in South Africa whose annual revenue is likely to exceed R5 million and which will carry out business with government departments, public entities or enterprises, or with companies who supply goods and services to them, you will be asked to provide your B-BBEE status. B-BBEE should be seen as a positive lever to achieve business success in South Africa and not as a deterrent.</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The Government is seeking to achieve B-BBEE by:</w:t>
      </w:r>
      <w:r w:rsidRPr="00480409">
        <w:rPr>
          <w:rFonts w:ascii="Arial" w:hAnsi="Arial" w:cs="Arial"/>
          <w:sz w:val="24"/>
          <w:szCs w:val="24"/>
          <w:lang w:val="en-US"/>
        </w:rPr>
        <w:br/>
        <w:t xml:space="preserve">• increasing the number of </w:t>
      </w:r>
      <w:proofErr w:type="gramStart"/>
      <w:r w:rsidRPr="00480409">
        <w:rPr>
          <w:rFonts w:ascii="Arial" w:hAnsi="Arial" w:cs="Arial"/>
          <w:sz w:val="24"/>
          <w:szCs w:val="24"/>
          <w:lang w:val="en-US"/>
        </w:rPr>
        <w:t>PDCs</w:t>
      </w:r>
      <w:proofErr w:type="gramEnd"/>
      <w:r w:rsidRPr="00480409">
        <w:rPr>
          <w:rFonts w:ascii="Arial" w:hAnsi="Arial" w:cs="Arial"/>
          <w:sz w:val="24"/>
          <w:szCs w:val="24"/>
          <w:lang w:val="en-US"/>
        </w:rPr>
        <w:t xml:space="preserve"> who manage, own and control businesses,</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 </w:t>
      </w:r>
      <w:proofErr w:type="gramStart"/>
      <w:r w:rsidRPr="00480409">
        <w:rPr>
          <w:rFonts w:ascii="Arial" w:hAnsi="Arial" w:cs="Arial"/>
          <w:sz w:val="24"/>
          <w:szCs w:val="24"/>
          <w:lang w:val="en-US"/>
        </w:rPr>
        <w:t>facilitating</w:t>
      </w:r>
      <w:proofErr w:type="gramEnd"/>
      <w:r w:rsidRPr="00480409">
        <w:rPr>
          <w:rFonts w:ascii="Arial" w:hAnsi="Arial" w:cs="Arial"/>
          <w:sz w:val="24"/>
          <w:szCs w:val="24"/>
          <w:lang w:val="en-US"/>
        </w:rPr>
        <w:t xml:space="preserve"> the ownership and management of such businesses by communities, workers and other collective enterprises,</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 </w:t>
      </w:r>
      <w:proofErr w:type="gramStart"/>
      <w:r w:rsidRPr="00480409">
        <w:rPr>
          <w:rFonts w:ascii="Arial" w:hAnsi="Arial" w:cs="Arial"/>
          <w:sz w:val="24"/>
          <w:szCs w:val="24"/>
          <w:lang w:val="en-US"/>
        </w:rPr>
        <w:t>boosting</w:t>
      </w:r>
      <w:proofErr w:type="gramEnd"/>
      <w:r w:rsidRPr="00480409">
        <w:rPr>
          <w:rFonts w:ascii="Arial" w:hAnsi="Arial" w:cs="Arial"/>
          <w:sz w:val="24"/>
          <w:szCs w:val="24"/>
          <w:lang w:val="en-US"/>
        </w:rPr>
        <w:t xml:space="preserve"> human resource and skills development,</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 </w:t>
      </w:r>
      <w:proofErr w:type="gramStart"/>
      <w:r w:rsidRPr="00480409">
        <w:rPr>
          <w:rFonts w:ascii="Arial" w:hAnsi="Arial" w:cs="Arial"/>
          <w:sz w:val="24"/>
          <w:szCs w:val="24"/>
          <w:lang w:val="en-US"/>
        </w:rPr>
        <w:t>achieving</w:t>
      </w:r>
      <w:proofErr w:type="gramEnd"/>
      <w:r w:rsidRPr="00480409">
        <w:rPr>
          <w:rFonts w:ascii="Arial" w:hAnsi="Arial" w:cs="Arial"/>
          <w:sz w:val="24"/>
          <w:szCs w:val="24"/>
          <w:lang w:val="en-US"/>
        </w:rPr>
        <w:t xml:space="preserve"> equitable representation in all categories and levels of the workforce,</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 </w:t>
      </w:r>
      <w:proofErr w:type="gramStart"/>
      <w:r w:rsidRPr="00480409">
        <w:rPr>
          <w:rFonts w:ascii="Arial" w:hAnsi="Arial" w:cs="Arial"/>
          <w:sz w:val="24"/>
          <w:szCs w:val="24"/>
          <w:lang w:val="en-US"/>
        </w:rPr>
        <w:t>promoting</w:t>
      </w:r>
      <w:proofErr w:type="gramEnd"/>
      <w:r w:rsidRPr="00480409">
        <w:rPr>
          <w:rFonts w:ascii="Arial" w:hAnsi="Arial" w:cs="Arial"/>
          <w:sz w:val="24"/>
          <w:szCs w:val="24"/>
          <w:lang w:val="en-US"/>
        </w:rPr>
        <w:t xml:space="preserve"> preferential procurement which would involve the purchase of goods and services with a strong B-BBEE score</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 </w:t>
      </w:r>
      <w:proofErr w:type="gramStart"/>
      <w:r w:rsidRPr="00480409">
        <w:rPr>
          <w:rFonts w:ascii="Arial" w:hAnsi="Arial" w:cs="Arial"/>
          <w:sz w:val="24"/>
          <w:szCs w:val="24"/>
          <w:lang w:val="en-US"/>
        </w:rPr>
        <w:t>encouraging</w:t>
      </w:r>
      <w:proofErr w:type="gramEnd"/>
      <w:r w:rsidRPr="00480409">
        <w:rPr>
          <w:rFonts w:ascii="Arial" w:hAnsi="Arial" w:cs="Arial"/>
          <w:sz w:val="24"/>
          <w:szCs w:val="24"/>
          <w:lang w:val="en-US"/>
        </w:rPr>
        <w:t xml:space="preserve"> investment in enterprises that are PDC-owned or managed.</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sz w:val="24"/>
          <w:szCs w:val="24"/>
          <w:lang w:val="en-US"/>
        </w:rPr>
        <w:t xml:space="preserve">Any new company setting up in South Africa needs to be aware of this government legislation and regulation that governs B-BBEE. These Acts include the Skills Development Act, the Employment Equity Act, the Preferential Procurement Act and the Broad Based Black Economic Empowerment Act. Companies looking to setup in South Africa should seek professional guidance from a local legal firm and </w:t>
      </w:r>
      <w:proofErr w:type="spellStart"/>
      <w:r w:rsidRPr="00480409">
        <w:rPr>
          <w:rFonts w:ascii="Arial" w:hAnsi="Arial" w:cs="Arial"/>
          <w:sz w:val="24"/>
          <w:szCs w:val="24"/>
          <w:lang w:val="en-US"/>
        </w:rPr>
        <w:t>familiarise</w:t>
      </w:r>
      <w:proofErr w:type="spellEnd"/>
      <w:r w:rsidRPr="00480409">
        <w:rPr>
          <w:rFonts w:ascii="Arial" w:hAnsi="Arial" w:cs="Arial"/>
          <w:sz w:val="24"/>
          <w:szCs w:val="24"/>
          <w:lang w:val="en-US"/>
        </w:rPr>
        <w:t xml:space="preserve"> themselves with the following:</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bCs/>
          <w:sz w:val="24"/>
          <w:szCs w:val="24"/>
          <w:lang w:val="en-US"/>
        </w:rPr>
        <w:t>B-BBEE Strategy Document</w:t>
      </w:r>
      <w:r w:rsidRPr="00480409">
        <w:rPr>
          <w:rFonts w:ascii="Arial" w:hAnsi="Arial" w:cs="Arial"/>
          <w:sz w:val="24"/>
          <w:szCs w:val="24"/>
          <w:lang w:val="en-US"/>
        </w:rPr>
        <w:br/>
      </w:r>
      <w:proofErr w:type="gramStart"/>
      <w:r w:rsidRPr="00480409">
        <w:rPr>
          <w:rFonts w:ascii="Arial" w:hAnsi="Arial" w:cs="Arial"/>
          <w:sz w:val="24"/>
          <w:szCs w:val="24"/>
          <w:lang w:val="en-US"/>
        </w:rPr>
        <w:t>This</w:t>
      </w:r>
      <w:proofErr w:type="gramEnd"/>
      <w:r w:rsidRPr="00480409">
        <w:rPr>
          <w:rFonts w:ascii="Arial" w:hAnsi="Arial" w:cs="Arial"/>
          <w:sz w:val="24"/>
          <w:szCs w:val="24"/>
          <w:lang w:val="en-US"/>
        </w:rPr>
        <w:t xml:space="preserve"> document outlines the South African Government's ten-year B-BBEE plan. It describes the various policies, reasoning behind B-BBEE and means of implementing B-BBEE policies. The document has been produced by the Department of Trade &amp; Industry and is available on its website </w:t>
      </w:r>
      <w:r w:rsidRPr="00480409">
        <w:rPr>
          <w:rFonts w:ascii="Arial" w:hAnsi="Arial" w:cs="Arial"/>
          <w:sz w:val="24"/>
          <w:szCs w:val="24"/>
        </w:rPr>
        <w:fldChar w:fldCharType="begin"/>
      </w:r>
      <w:r w:rsidRPr="00480409">
        <w:rPr>
          <w:rFonts w:ascii="Arial" w:hAnsi="Arial" w:cs="Arial"/>
          <w:sz w:val="24"/>
          <w:szCs w:val="24"/>
        </w:rPr>
        <w:instrText xml:space="preserve"> HYPERLINK "http://www.dti.gov.za/" \t "_blank" </w:instrText>
      </w:r>
      <w:r w:rsidRPr="00480409">
        <w:rPr>
          <w:rFonts w:ascii="Arial" w:hAnsi="Arial" w:cs="Arial"/>
          <w:sz w:val="24"/>
          <w:szCs w:val="24"/>
        </w:rPr>
      </w:r>
      <w:r w:rsidRPr="00480409">
        <w:rPr>
          <w:rFonts w:ascii="Arial" w:hAnsi="Arial" w:cs="Arial"/>
          <w:sz w:val="24"/>
          <w:szCs w:val="24"/>
        </w:rPr>
        <w:fldChar w:fldCharType="separate"/>
      </w:r>
      <w:r w:rsidRPr="00480409">
        <w:rPr>
          <w:rStyle w:val="Hyperlink"/>
          <w:rFonts w:ascii="Arial" w:hAnsi="Arial" w:cs="Arial"/>
          <w:sz w:val="24"/>
          <w:szCs w:val="24"/>
          <w:lang w:val="en-US"/>
        </w:rPr>
        <w:t>www.dti.gov.za</w:t>
      </w:r>
      <w:r w:rsidRPr="00480409">
        <w:rPr>
          <w:rStyle w:val="Hyperlink"/>
          <w:rFonts w:ascii="Arial" w:hAnsi="Arial" w:cs="Arial"/>
          <w:sz w:val="24"/>
          <w:szCs w:val="24"/>
          <w:lang w:val="en-US"/>
        </w:rPr>
        <w:fldChar w:fldCharType="end"/>
      </w:r>
    </w:p>
    <w:p w:rsidR="00480409" w:rsidRPr="00480409" w:rsidRDefault="00480409" w:rsidP="00480409">
      <w:pPr>
        <w:spacing w:line="360" w:lineRule="auto"/>
        <w:rPr>
          <w:rFonts w:ascii="Arial" w:hAnsi="Arial" w:cs="Arial"/>
          <w:sz w:val="24"/>
          <w:szCs w:val="24"/>
          <w:lang w:val="en-US"/>
        </w:rPr>
      </w:pPr>
      <w:r w:rsidRPr="00480409">
        <w:rPr>
          <w:rFonts w:ascii="Arial" w:hAnsi="Arial" w:cs="Arial"/>
          <w:bCs/>
          <w:sz w:val="24"/>
          <w:szCs w:val="24"/>
          <w:lang w:val="en-US"/>
        </w:rPr>
        <w:t>Codes of Good Practice</w:t>
      </w:r>
      <w:r w:rsidRPr="00480409">
        <w:rPr>
          <w:rFonts w:ascii="Arial" w:hAnsi="Arial" w:cs="Arial"/>
          <w:sz w:val="24"/>
          <w:szCs w:val="24"/>
          <w:lang w:val="en-US"/>
        </w:rPr>
        <w:br/>
        <w:t xml:space="preserve">These are the codes that companies can use in order to evaluate and track their B-BBEE efforts. Specific targets need to be </w:t>
      </w:r>
      <w:proofErr w:type="spellStart"/>
      <w:proofErr w:type="gramStart"/>
      <w:r w:rsidRPr="00480409">
        <w:rPr>
          <w:rFonts w:ascii="Arial" w:hAnsi="Arial" w:cs="Arial"/>
          <w:sz w:val="24"/>
          <w:szCs w:val="24"/>
          <w:lang w:val="en-US"/>
        </w:rPr>
        <w:t>met.The</w:t>
      </w:r>
      <w:proofErr w:type="spellEnd"/>
      <w:proofErr w:type="gramEnd"/>
      <w:r w:rsidRPr="00480409">
        <w:rPr>
          <w:rFonts w:ascii="Arial" w:hAnsi="Arial" w:cs="Arial"/>
          <w:sz w:val="24"/>
          <w:szCs w:val="24"/>
          <w:lang w:val="en-US"/>
        </w:rPr>
        <w:t xml:space="preserve"> codes help businesses get an accurate rating which they can include in their company profile.</w:t>
      </w:r>
    </w:p>
    <w:p w:rsidR="00480409" w:rsidRPr="00480409" w:rsidRDefault="00480409" w:rsidP="00480409">
      <w:pPr>
        <w:spacing w:line="360" w:lineRule="auto"/>
        <w:rPr>
          <w:rFonts w:ascii="Arial" w:hAnsi="Arial" w:cs="Arial"/>
          <w:sz w:val="24"/>
          <w:szCs w:val="24"/>
          <w:lang w:val="en-US"/>
        </w:rPr>
      </w:pPr>
      <w:r w:rsidRPr="00480409">
        <w:rPr>
          <w:rFonts w:ascii="Arial" w:hAnsi="Arial" w:cs="Arial"/>
          <w:bCs/>
          <w:sz w:val="24"/>
          <w:szCs w:val="24"/>
          <w:lang w:val="en-US"/>
        </w:rPr>
        <w:t>Industry Charters</w:t>
      </w:r>
      <w:r w:rsidRPr="00480409">
        <w:rPr>
          <w:rFonts w:ascii="Arial" w:hAnsi="Arial" w:cs="Arial"/>
          <w:sz w:val="24"/>
          <w:szCs w:val="24"/>
          <w:lang w:val="en-US"/>
        </w:rPr>
        <w:br/>
        <w:t>In order to make B-BBEE implementation more effective in each industry, the generic score card has been adjusted with weightings that are sector-specific.</w:t>
      </w:r>
      <w:r w:rsidRPr="00480409">
        <w:rPr>
          <w:rFonts w:ascii="Arial" w:hAnsi="Arial" w:cs="Arial"/>
          <w:sz w:val="24"/>
          <w:szCs w:val="24"/>
        </w:rPr>
        <w:br w:type="page"/>
      </w:r>
    </w:p>
    <w:p w:rsidR="00480409" w:rsidRPr="00480409" w:rsidRDefault="00480409" w:rsidP="00480409">
      <w:pPr>
        <w:spacing w:line="360" w:lineRule="auto"/>
        <w:jc w:val="both"/>
        <w:rPr>
          <w:rFonts w:ascii="Arial" w:hAnsi="Arial" w:cs="Arial"/>
          <w:b/>
          <w:sz w:val="24"/>
          <w:szCs w:val="24"/>
        </w:rPr>
      </w:pPr>
      <w:r w:rsidRPr="00480409">
        <w:rPr>
          <w:rFonts w:ascii="Arial" w:hAnsi="Arial" w:cs="Arial"/>
          <w:b/>
          <w:sz w:val="24"/>
          <w:szCs w:val="24"/>
        </w:rPr>
        <w:t xml:space="preserve">Extra info </w:t>
      </w:r>
    </w:p>
    <w:p w:rsidR="00480409" w:rsidRPr="00480409" w:rsidRDefault="00480409" w:rsidP="00480409">
      <w:pPr>
        <w:pStyle w:val="ListParagraph"/>
        <w:numPr>
          <w:ilvl w:val="0"/>
          <w:numId w:val="8"/>
        </w:numPr>
        <w:spacing w:line="360" w:lineRule="auto"/>
        <w:jc w:val="both"/>
        <w:rPr>
          <w:rFonts w:ascii="Arial" w:hAnsi="Arial" w:cs="Arial"/>
          <w:sz w:val="24"/>
          <w:szCs w:val="24"/>
        </w:rPr>
      </w:pPr>
      <w:r w:rsidRPr="00480409">
        <w:rPr>
          <w:rFonts w:ascii="Arial" w:hAnsi="Arial" w:cs="Arial"/>
          <w:sz w:val="24"/>
          <w:szCs w:val="24"/>
        </w:rPr>
        <w:t xml:space="preserve">South Africa is internationally recognised for best practice in corporate governance principles and practice with many countries looking to the King Codes for guidance. With integrated reporting a key recommendation of King III, South Africa has a history of corporate sustainability reporting that has contributed to the country being recognised for the strength of its corporate reporting on key environmental, social and governance (ESG) issues. An international study by </w:t>
      </w:r>
      <w:proofErr w:type="spellStart"/>
      <w:r w:rsidRPr="00480409">
        <w:rPr>
          <w:rFonts w:ascii="Arial" w:hAnsi="Arial" w:cs="Arial"/>
          <w:sz w:val="24"/>
          <w:szCs w:val="24"/>
        </w:rPr>
        <w:t>Eccles</w:t>
      </w:r>
      <w:proofErr w:type="spellEnd"/>
      <w:r w:rsidRPr="00480409">
        <w:rPr>
          <w:rFonts w:ascii="Arial" w:hAnsi="Arial" w:cs="Arial"/>
          <w:sz w:val="24"/>
          <w:szCs w:val="24"/>
        </w:rPr>
        <w:t xml:space="preserve"> and Serafeim1 in 2012 found that South Africa has a high degree of integrated reporting by companies but very little interest by investors in non-financial performance metrics.</w:t>
      </w:r>
    </w:p>
    <w:p w:rsidR="00480409" w:rsidRPr="00480409" w:rsidRDefault="00480409" w:rsidP="00480409">
      <w:pPr>
        <w:pStyle w:val="ListParagraph"/>
        <w:numPr>
          <w:ilvl w:val="0"/>
          <w:numId w:val="8"/>
        </w:numPr>
        <w:spacing w:line="360" w:lineRule="auto"/>
        <w:jc w:val="both"/>
        <w:rPr>
          <w:rFonts w:ascii="Arial" w:hAnsi="Arial" w:cs="Arial"/>
          <w:sz w:val="24"/>
          <w:szCs w:val="24"/>
        </w:rPr>
      </w:pPr>
      <w:r w:rsidRPr="00480409">
        <w:rPr>
          <w:rFonts w:ascii="Arial" w:hAnsi="Arial" w:cs="Arial"/>
          <w:sz w:val="24"/>
          <w:szCs w:val="24"/>
        </w:rPr>
        <w:t>The institutional investors surveyed in SA felt that companies are motivated to report on ESG performance predominantly from a corporate reputation perspective, followed by compliance and risk management as the key drivers.</w:t>
      </w:r>
    </w:p>
    <w:p w:rsidR="00480409" w:rsidRPr="00480409" w:rsidRDefault="00480409" w:rsidP="00480409">
      <w:pPr>
        <w:spacing w:line="360" w:lineRule="auto"/>
        <w:jc w:val="both"/>
        <w:rPr>
          <w:rFonts w:ascii="Arial" w:hAnsi="Arial" w:cs="Arial"/>
          <w:sz w:val="24"/>
          <w:szCs w:val="24"/>
        </w:rPr>
      </w:pPr>
    </w:p>
    <w:p w:rsidR="004D7470" w:rsidRPr="00480409" w:rsidRDefault="004D7470" w:rsidP="00480409">
      <w:pPr>
        <w:spacing w:line="360" w:lineRule="auto"/>
        <w:rPr>
          <w:rFonts w:ascii="Arial" w:hAnsi="Arial" w:cs="Arial"/>
          <w:sz w:val="24"/>
          <w:szCs w:val="24"/>
        </w:rPr>
      </w:pPr>
    </w:p>
    <w:sectPr w:rsidR="004D7470" w:rsidRPr="00480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08CF"/>
    <w:multiLevelType w:val="hybridMultilevel"/>
    <w:tmpl w:val="EB2C7456"/>
    <w:lvl w:ilvl="0" w:tplc="4A66A8A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47026"/>
    <w:multiLevelType w:val="hybridMultilevel"/>
    <w:tmpl w:val="70AACD42"/>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2">
    <w:nsid w:val="33201353"/>
    <w:multiLevelType w:val="hybridMultilevel"/>
    <w:tmpl w:val="F888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056E77"/>
    <w:multiLevelType w:val="hybridMultilevel"/>
    <w:tmpl w:val="246ED1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0746A4"/>
    <w:multiLevelType w:val="multilevel"/>
    <w:tmpl w:val="7E08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F1B06"/>
    <w:multiLevelType w:val="hybridMultilevel"/>
    <w:tmpl w:val="F8F6A43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nsid w:val="4BE84C80"/>
    <w:multiLevelType w:val="hybridMultilevel"/>
    <w:tmpl w:val="DCCAECBA"/>
    <w:lvl w:ilvl="0" w:tplc="3394FEB4">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423C0"/>
    <w:multiLevelType w:val="hybridMultilevel"/>
    <w:tmpl w:val="A204EF14"/>
    <w:lvl w:ilvl="0" w:tplc="16FE76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5"/>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09"/>
    <w:rsid w:val="00480409"/>
    <w:rsid w:val="004D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815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09"/>
    <w:pPr>
      <w:spacing w:after="160" w:line="259"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409"/>
    <w:pPr>
      <w:ind w:left="720"/>
      <w:contextualSpacing/>
    </w:pPr>
  </w:style>
  <w:style w:type="paragraph" w:styleId="NormalWeb">
    <w:name w:val="Normal (Web)"/>
    <w:basedOn w:val="Normal"/>
    <w:uiPriority w:val="99"/>
    <w:unhideWhenUsed/>
    <w:rsid w:val="004804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480409"/>
  </w:style>
  <w:style w:type="character" w:styleId="Hyperlink">
    <w:name w:val="Hyperlink"/>
    <w:basedOn w:val="DefaultParagraphFont"/>
    <w:uiPriority w:val="99"/>
    <w:unhideWhenUsed/>
    <w:rsid w:val="00480409"/>
    <w:rPr>
      <w:color w:val="0000FF" w:themeColor="hyperlink"/>
      <w:u w:val="single"/>
    </w:rPr>
  </w:style>
  <w:style w:type="paragraph" w:styleId="BalloonText">
    <w:name w:val="Balloon Text"/>
    <w:basedOn w:val="Normal"/>
    <w:link w:val="BalloonTextChar"/>
    <w:uiPriority w:val="99"/>
    <w:semiHidden/>
    <w:unhideWhenUsed/>
    <w:rsid w:val="004804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409"/>
    <w:rPr>
      <w:rFonts w:ascii="Lucida Grande" w:hAnsi="Lucida Grande" w:cs="Lucida Grande"/>
      <w:sz w:val="18"/>
      <w:szCs w:val="18"/>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409"/>
    <w:pPr>
      <w:spacing w:after="160" w:line="259"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409"/>
    <w:pPr>
      <w:ind w:left="720"/>
      <w:contextualSpacing/>
    </w:pPr>
  </w:style>
  <w:style w:type="paragraph" w:styleId="NormalWeb">
    <w:name w:val="Normal (Web)"/>
    <w:basedOn w:val="Normal"/>
    <w:uiPriority w:val="99"/>
    <w:unhideWhenUsed/>
    <w:rsid w:val="0048040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480409"/>
  </w:style>
  <w:style w:type="character" w:styleId="Hyperlink">
    <w:name w:val="Hyperlink"/>
    <w:basedOn w:val="DefaultParagraphFont"/>
    <w:uiPriority w:val="99"/>
    <w:unhideWhenUsed/>
    <w:rsid w:val="00480409"/>
    <w:rPr>
      <w:color w:val="0000FF" w:themeColor="hyperlink"/>
      <w:u w:val="single"/>
    </w:rPr>
  </w:style>
  <w:style w:type="paragraph" w:styleId="BalloonText">
    <w:name w:val="Balloon Text"/>
    <w:basedOn w:val="Normal"/>
    <w:link w:val="BalloonTextChar"/>
    <w:uiPriority w:val="99"/>
    <w:semiHidden/>
    <w:unhideWhenUsed/>
    <w:rsid w:val="004804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0409"/>
    <w:rPr>
      <w:rFonts w:ascii="Lucida Grande" w:hAnsi="Lucida Grande" w:cs="Lucida Grande"/>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A%20IRIS\Desktop\CG-SA%20compliance%20leve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A%20IRIS\Desktop\CG-SA%20compliance%20level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SA Companies: </a:t>
            </a:r>
          </a:p>
          <a:p>
            <a:pPr>
              <a:defRPr sz="1000"/>
            </a:pPr>
            <a:r>
              <a:rPr lang="en-US" sz="1000"/>
              <a:t>CG</a:t>
            </a:r>
            <a:r>
              <a:rPr lang="en-US" sz="1000" baseline="0"/>
              <a:t> Compliance </a:t>
            </a:r>
            <a:r>
              <a:rPr lang="en-US" sz="1000"/>
              <a:t>Average</a:t>
            </a:r>
            <a:r>
              <a:rPr lang="en-US" sz="1000" baseline="0"/>
              <a:t> Level  </a:t>
            </a:r>
            <a:endParaRPr lang="en-US" sz="1000"/>
          </a:p>
        </c:rich>
      </c:tx>
      <c:layout/>
      <c:overlay val="0"/>
    </c:title>
    <c:autoTitleDeleted val="0"/>
    <c:plotArea>
      <c:layout/>
      <c:barChart>
        <c:barDir val="col"/>
        <c:grouping val="clustered"/>
        <c:varyColors val="0"/>
        <c:ser>
          <c:idx val="1"/>
          <c:order val="0"/>
          <c:tx>
            <c:strRef>
              <c:f>Hoja1!$B$5</c:f>
              <c:strCache>
                <c:ptCount val="1"/>
                <c:pt idx="0">
                  <c:v>Aggregate mean scores</c:v>
                </c:pt>
              </c:strCache>
            </c:strRef>
          </c:tx>
          <c:spPr>
            <a:solidFill>
              <a:schemeClr val="accent2"/>
            </a:solidFill>
          </c:spPr>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Hoja1!$D$4:$H$4</c:f>
              <c:numCache>
                <c:formatCode>General</c:formatCode>
                <c:ptCount val="5"/>
                <c:pt idx="0">
                  <c:v>2002.0</c:v>
                </c:pt>
                <c:pt idx="1">
                  <c:v>2003.0</c:v>
                </c:pt>
                <c:pt idx="2">
                  <c:v>2004.0</c:v>
                </c:pt>
                <c:pt idx="3">
                  <c:v>2005.0</c:v>
                </c:pt>
                <c:pt idx="4">
                  <c:v>2006.0</c:v>
                </c:pt>
              </c:numCache>
            </c:numRef>
          </c:cat>
          <c:val>
            <c:numRef>
              <c:f>Hoja1!$D$5:$H$5</c:f>
              <c:numCache>
                <c:formatCode>General</c:formatCode>
                <c:ptCount val="5"/>
                <c:pt idx="0">
                  <c:v>47.0</c:v>
                </c:pt>
                <c:pt idx="1">
                  <c:v>58.0</c:v>
                </c:pt>
                <c:pt idx="2">
                  <c:v>64.0</c:v>
                </c:pt>
                <c:pt idx="3">
                  <c:v>66.0</c:v>
                </c:pt>
                <c:pt idx="4">
                  <c:v>69.0</c:v>
                </c:pt>
              </c:numCache>
            </c:numRef>
          </c:val>
          <c:extLst xmlns:c16r2="http://schemas.microsoft.com/office/drawing/2015/06/chart">
            <c:ext xmlns:c16="http://schemas.microsoft.com/office/drawing/2014/chart" uri="{C3380CC4-5D6E-409C-BE32-E72D297353CC}">
              <c16:uniqueId val="{00000000-28F5-40F8-BD5E-EA2D8DB77715}"/>
            </c:ext>
          </c:extLst>
        </c:ser>
        <c:dLbls>
          <c:dLblPos val="outEnd"/>
          <c:showLegendKey val="0"/>
          <c:showVal val="1"/>
          <c:showCatName val="0"/>
          <c:showSerName val="0"/>
          <c:showPercent val="0"/>
          <c:showBubbleSize val="0"/>
        </c:dLbls>
        <c:gapWidth val="150"/>
        <c:axId val="2062471400"/>
        <c:axId val="2100306392"/>
      </c:barChart>
      <c:catAx>
        <c:axId val="2062471400"/>
        <c:scaling>
          <c:orientation val="minMax"/>
        </c:scaling>
        <c:delete val="0"/>
        <c:axPos val="b"/>
        <c:numFmt formatCode="General" sourceLinked="1"/>
        <c:majorTickMark val="out"/>
        <c:minorTickMark val="none"/>
        <c:tickLblPos val="nextTo"/>
        <c:crossAx val="2100306392"/>
        <c:crosses val="autoZero"/>
        <c:auto val="1"/>
        <c:lblAlgn val="ctr"/>
        <c:lblOffset val="100"/>
        <c:noMultiLvlLbl val="0"/>
      </c:catAx>
      <c:valAx>
        <c:axId val="2100306392"/>
        <c:scaling>
          <c:orientation val="minMax"/>
        </c:scaling>
        <c:delete val="0"/>
        <c:axPos val="l"/>
        <c:numFmt formatCode="General" sourceLinked="1"/>
        <c:majorTickMark val="out"/>
        <c:minorTickMark val="none"/>
        <c:tickLblPos val="nextTo"/>
        <c:crossAx val="20624714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s-MX" sz="1000"/>
              <a:t>CG</a:t>
            </a:r>
            <a:r>
              <a:rPr lang="es-MX" sz="1000" baseline="0"/>
              <a:t> Compliance per section: 2006</a:t>
            </a:r>
            <a:endParaRPr lang="es-MX" sz="1000"/>
          </a:p>
        </c:rich>
      </c:tx>
      <c:layout/>
      <c:overlay val="0"/>
    </c:title>
    <c:autoTitleDeleted val="0"/>
    <c:plotArea>
      <c:layout>
        <c:manualLayout>
          <c:layoutTarget val="inner"/>
          <c:xMode val="edge"/>
          <c:yMode val="edge"/>
          <c:x val="0.484384877422237"/>
          <c:y val="0.208446856764264"/>
          <c:w val="0.475455687719886"/>
          <c:h val="0.665414978467497"/>
        </c:manualLayout>
      </c:layout>
      <c:barChart>
        <c:barDir val="bar"/>
        <c:grouping val="clustered"/>
        <c:varyColors val="0"/>
        <c:ser>
          <c:idx val="5"/>
          <c:order val="0"/>
          <c:invertIfNegative val="0"/>
          <c:dLbls>
            <c:spPr>
              <a:noFill/>
              <a:ln>
                <a:noFill/>
              </a:ln>
              <a:effectLst/>
            </c:spPr>
            <c:txPr>
              <a:bodyPr/>
              <a:lstStyle/>
              <a:p>
                <a:pPr>
                  <a:defRPr sz="7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Hoja1!$B$6:$B$57</c:f>
              <c:strCache>
                <c:ptCount val="5"/>
                <c:pt idx="0">
                  <c:v>1. Board, directors and ownership</c:v>
                </c:pt>
                <c:pt idx="1">
                  <c:v>2. Accounting and auditing</c:v>
                </c:pt>
                <c:pt idx="2">
                  <c:v>3. Risk management, internal audit and control</c:v>
                </c:pt>
                <c:pt idx="3">
                  <c:v>4. Integrated sustainability reporting</c:v>
                </c:pt>
                <c:pt idx="4">
                  <c:v>5. Voluntary compliance and enforcement</c:v>
                </c:pt>
              </c:strCache>
            </c:strRef>
          </c:cat>
          <c:val>
            <c:numRef>
              <c:f>Hoja1!$H$6:$H$57</c:f>
              <c:numCache>
                <c:formatCode>0</c:formatCode>
                <c:ptCount val="5"/>
                <c:pt idx="0">
                  <c:v>62.11111111111111</c:v>
                </c:pt>
                <c:pt idx="1">
                  <c:v>80.0</c:v>
                </c:pt>
                <c:pt idx="2">
                  <c:v>82.0</c:v>
                </c:pt>
                <c:pt idx="3">
                  <c:v>75.66666666666667</c:v>
                </c:pt>
                <c:pt idx="4">
                  <c:v>53.33333333333334</c:v>
                </c:pt>
              </c:numCache>
            </c:numRef>
          </c:val>
          <c:extLst xmlns:c16r2="http://schemas.microsoft.com/office/drawing/2015/06/chart">
            <c:ext xmlns:c16="http://schemas.microsoft.com/office/drawing/2014/chart" uri="{C3380CC4-5D6E-409C-BE32-E72D297353CC}">
              <c16:uniqueId val="{00000000-FB28-4CB2-B3CB-E69F28A1C9A1}"/>
            </c:ext>
          </c:extLst>
        </c:ser>
        <c:dLbls>
          <c:dLblPos val="outEnd"/>
          <c:showLegendKey val="0"/>
          <c:showVal val="1"/>
          <c:showCatName val="0"/>
          <c:showSerName val="0"/>
          <c:showPercent val="0"/>
          <c:showBubbleSize val="0"/>
        </c:dLbls>
        <c:gapWidth val="150"/>
        <c:axId val="-2141283560"/>
        <c:axId val="-2141280488"/>
      </c:barChart>
      <c:catAx>
        <c:axId val="-2141283560"/>
        <c:scaling>
          <c:orientation val="minMax"/>
        </c:scaling>
        <c:delete val="0"/>
        <c:axPos val="l"/>
        <c:numFmt formatCode="General" sourceLinked="0"/>
        <c:majorTickMark val="out"/>
        <c:minorTickMark val="none"/>
        <c:tickLblPos val="nextTo"/>
        <c:txPr>
          <a:bodyPr/>
          <a:lstStyle/>
          <a:p>
            <a:pPr>
              <a:defRPr sz="800"/>
            </a:pPr>
            <a:endParaRPr lang="en-US"/>
          </a:p>
        </c:txPr>
        <c:crossAx val="-2141280488"/>
        <c:crosses val="autoZero"/>
        <c:auto val="1"/>
        <c:lblAlgn val="ctr"/>
        <c:lblOffset val="100"/>
        <c:noMultiLvlLbl val="0"/>
      </c:catAx>
      <c:valAx>
        <c:axId val="-2141280488"/>
        <c:scaling>
          <c:orientation val="minMax"/>
        </c:scaling>
        <c:delete val="0"/>
        <c:axPos val="b"/>
        <c:numFmt formatCode="0" sourceLinked="1"/>
        <c:majorTickMark val="out"/>
        <c:minorTickMark val="none"/>
        <c:tickLblPos val="nextTo"/>
        <c:txPr>
          <a:bodyPr/>
          <a:lstStyle/>
          <a:p>
            <a:pPr>
              <a:defRPr sz="700"/>
            </a:pPr>
            <a:endParaRPr lang="en-US"/>
          </a:p>
        </c:txPr>
        <c:crossAx val="-21412835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3946</Words>
  <Characters>22497</Characters>
  <Application>Microsoft Macintosh Word</Application>
  <DocSecurity>0</DocSecurity>
  <Lines>187</Lines>
  <Paragraphs>52</Paragraphs>
  <ScaleCrop>false</ScaleCrop>
  <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2016-05-14T11:12:00Z</dcterms:created>
  <dcterms:modified xsi:type="dcterms:W3CDTF">2016-05-14T11:13:00Z</dcterms:modified>
</cp:coreProperties>
</file>